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0"/>
      </w:tblGrid>
      <w:tr>
        <w:trPr>
          <w:trHeight w:val="5173"/>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8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项目编号：JSZC-320106-TCDL-C2025-0003</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项目名称：南京大学附属中学2026-2028年度安保服务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采购人：南京大学附属中学</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代理机构：南京涛辰项目管理咨询有限公司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二○二五年十一月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spacing w:before="240" w:after="57" w:line="113" w:lineRule="atLeast"/>
        <w:tabs>
          <w:tab w:val="left" w:pos="9746" w:leader="none"/>
        </w:tabs>
        <w:pBdr>
          <w:top w:val="none" w:color="000000" w:sz="4" w:space="0"/>
          <w:left w:val="none" w:color="000000" w:sz="4" w:space="0"/>
          <w:bottom w:val="none" w:color="000000" w:sz="4" w:space="0"/>
          <w:right w:val="none" w:color="000000" w:sz="4" w:space="0"/>
        </w:pBdr>
      </w:pPr>
      <w:r/>
      <w:r>
        <w:rPr>
          <w:rFonts w:ascii="SimSun" w:hAnsi="SimSun" w:eastAsia="SimSun" w:cs="SimSun"/>
          <w:sz w:val="36"/>
        </w:rPr>
        <w:t xml:space="preserve">第一章</w:t>
      </w:r>
      <w:r>
        <w:rPr>
          <w:rFonts w:ascii="Arial Unicode MS" w:hAnsi="Arial Unicode MS" w:eastAsia="Arial Unicode MS" w:cs="Arial Unicode MS"/>
          <w:sz w:val="36"/>
        </w:rPr>
        <w:t xml:space="preserve"> </w:t>
      </w:r>
      <w:r>
        <w:rPr>
          <w:rFonts w:ascii="SimSun" w:hAnsi="SimSun" w:eastAsia="SimSun" w:cs="SimSun"/>
          <w:sz w:val="36"/>
          <w:szCs w:val="36"/>
        </w:rPr>
        <w:t xml:space="preserve">磋商</w:t>
      </w:r>
      <w:r>
        <w:rPr>
          <w:rFonts w:ascii="SimSun" w:hAnsi="SimSun" w:eastAsia="SimSun" w:cs="SimSun"/>
          <w:sz w:val="36"/>
          <w:szCs w:val="36"/>
        </w:rPr>
        <w:t xml:space="preserve">邀请</w:t>
      </w:r>
      <w:r>
        <w:rPr>
          <w:rFonts w:ascii="Times New Roman" w:hAnsi="Times New Roman" w:eastAsia="Times New Roman" w:cs="Times New Roman"/>
          <w:sz w:val="36"/>
        </w:rPr>
        <w:tab/>
        <w:t xml:space="preserve">1</w:t>
      </w:r>
      <w:r/>
      <w:r/>
    </w:p>
    <w:p>
      <w:pPr>
        <w:ind w:left="0" w:right="0" w:firstLine="0"/>
        <w:spacing w:before="240" w:after="57" w:line="113" w:lineRule="atLeast"/>
        <w:tabs>
          <w:tab w:val="left" w:pos="9746" w:leader="none"/>
        </w:tabs>
        <w:pBdr>
          <w:top w:val="none" w:color="000000" w:sz="4" w:space="0"/>
          <w:left w:val="none" w:color="000000" w:sz="4" w:space="0"/>
          <w:bottom w:val="none" w:color="000000" w:sz="4" w:space="0"/>
          <w:right w:val="none" w:color="000000" w:sz="4" w:space="0"/>
        </w:pBdr>
      </w:pPr>
      <w:r/>
      <w:r>
        <w:rPr>
          <w:rFonts w:ascii="SimSun" w:hAnsi="SimSun" w:eastAsia="SimSun" w:cs="SimSun"/>
          <w:sz w:val="36"/>
        </w:rPr>
        <w:t xml:space="preserve">第二章 供应商须知</w:t>
      </w:r>
      <w:r>
        <w:rPr>
          <w:rFonts w:ascii="Times New Roman" w:hAnsi="Times New Roman" w:eastAsia="Times New Roman" w:cs="Times New Roman"/>
          <w:sz w:val="36"/>
        </w:rPr>
        <w:tab/>
        <w:t xml:space="preserve">4</w:t>
      </w:r>
      <w:r/>
      <w:r/>
    </w:p>
    <w:p>
      <w:pPr>
        <w:ind w:left="0" w:right="0" w:firstLine="0"/>
        <w:spacing w:before="240" w:after="57" w:line="113" w:lineRule="atLeast"/>
        <w:tabs>
          <w:tab w:val="left" w:pos="9746" w:leader="none"/>
        </w:tabs>
        <w:pBdr>
          <w:top w:val="none" w:color="000000" w:sz="4" w:space="0"/>
          <w:left w:val="none" w:color="000000" w:sz="4" w:space="0"/>
          <w:bottom w:val="none" w:color="000000" w:sz="4" w:space="0"/>
          <w:right w:val="none" w:color="000000" w:sz="4" w:space="0"/>
        </w:pBdr>
      </w:pPr>
      <w:r/>
      <w:r>
        <w:rPr>
          <w:rFonts w:ascii="SimSun" w:hAnsi="SimSun" w:eastAsia="SimSun" w:cs="SimSun"/>
          <w:sz w:val="36"/>
          <w:szCs w:val="36"/>
        </w:rPr>
        <w:t xml:space="preserve">第三章 合同文本</w:t>
      </w:r>
      <w:r>
        <w:rPr>
          <w:rFonts w:ascii="Times New Roman" w:hAnsi="Times New Roman" w:eastAsia="Times New Roman" w:cs="Times New Roman"/>
          <w:sz w:val="36"/>
        </w:rPr>
        <w:tab/>
        <w:t xml:space="preserve">12</w:t>
      </w:r>
      <w:r/>
      <w:r/>
    </w:p>
    <w:p>
      <w:pPr>
        <w:ind w:left="0" w:right="0" w:firstLine="0"/>
        <w:spacing w:before="240" w:after="57" w:line="113" w:lineRule="atLeast"/>
        <w:tabs>
          <w:tab w:val="left" w:pos="9746" w:leader="none"/>
        </w:tabs>
        <w:pBdr>
          <w:top w:val="none" w:color="000000" w:sz="4" w:space="0"/>
          <w:left w:val="none" w:color="000000" w:sz="4" w:space="0"/>
          <w:bottom w:val="none" w:color="000000" w:sz="4" w:space="0"/>
          <w:right w:val="none" w:color="000000" w:sz="4" w:space="0"/>
        </w:pBdr>
      </w:pPr>
      <w:r/>
      <w:r>
        <w:rPr>
          <w:rFonts w:ascii="SimSun" w:hAnsi="SimSun" w:eastAsia="SimSun" w:cs="SimSun"/>
          <w:sz w:val="36"/>
          <w:szCs w:val="36"/>
        </w:rPr>
        <w:t xml:space="preserve">第四章</w:t>
      </w:r>
      <w:r>
        <w:rPr>
          <w:rFonts w:ascii="SimSun" w:hAnsi="SimSun" w:eastAsia="SimSun" w:cs="SimSun"/>
          <w:sz w:val="36"/>
          <w:szCs w:val="36"/>
        </w:rPr>
        <w:t xml:space="preserve">  </w:t>
      </w:r>
      <w:r>
        <w:rPr>
          <w:rFonts w:ascii="SimSun" w:hAnsi="SimSun" w:eastAsia="SimSun" w:cs="SimSun"/>
          <w:sz w:val="36"/>
          <w:szCs w:val="36"/>
        </w:rPr>
        <w:t xml:space="preserve">采购需求</w:t>
      </w:r>
      <w:r>
        <w:rPr>
          <w:rFonts w:ascii="Times New Roman" w:hAnsi="Times New Roman" w:eastAsia="Times New Roman" w:cs="Times New Roman"/>
          <w:sz w:val="36"/>
        </w:rPr>
        <w:tab/>
        <w:t xml:space="preserve">1</w:t>
      </w:r>
      <w:r>
        <w:rPr>
          <w:rFonts w:ascii="Times New Roman" w:hAnsi="Times New Roman" w:eastAsia="Times New Roman" w:cs="Times New Roman"/>
          <w:color w:val="000000"/>
          <w:sz w:val="36"/>
        </w:rPr>
        <w:t xml:space="preserve">5</w:t>
      </w:r>
      <w:r/>
    </w:p>
    <w:p>
      <w:pPr>
        <w:ind w:left="0" w:right="0" w:firstLine="0"/>
        <w:spacing w:before="240" w:after="57" w:line="113" w:lineRule="atLeast"/>
        <w:tabs>
          <w:tab w:val="left" w:pos="9746" w:leader="none"/>
        </w:tabs>
        <w:pBdr>
          <w:top w:val="none" w:color="000000" w:sz="4" w:space="0"/>
          <w:left w:val="none" w:color="000000" w:sz="4" w:space="0"/>
          <w:bottom w:val="none" w:color="000000" w:sz="4" w:space="0"/>
          <w:right w:val="none" w:color="000000" w:sz="4" w:space="0"/>
        </w:pBdr>
      </w:pPr>
      <w:r/>
      <w:r>
        <w:rPr>
          <w:rFonts w:ascii="SimSun" w:hAnsi="SimSun" w:eastAsia="SimSun" w:cs="SimSun"/>
          <w:sz w:val="36"/>
        </w:rPr>
        <w:t xml:space="preserve">第五章</w:t>
      </w:r>
      <w:r>
        <w:rPr>
          <w:rFonts w:ascii="SimSun" w:hAnsi="SimSun" w:eastAsia="SimSun" w:cs="SimSun"/>
          <w:sz w:val="36"/>
        </w:rPr>
        <w:t xml:space="preserve"> </w:t>
      </w:r>
      <w:r>
        <w:rPr>
          <w:rFonts w:ascii="SimSun" w:hAnsi="SimSun" w:eastAsia="SimSun" w:cs="SimSun"/>
          <w:sz w:val="36"/>
        </w:rPr>
        <w:t xml:space="preserve">成交标准</w:t>
      </w:r>
      <w:r>
        <w:rPr>
          <w:rFonts w:ascii="Times New Roman" w:hAnsi="Times New Roman" w:eastAsia="Times New Roman" w:cs="Times New Roman"/>
          <w:sz w:val="36"/>
        </w:rPr>
        <w:tab/>
        <w:t xml:space="preserve">2</w:t>
      </w:r>
      <w:r>
        <w:rPr>
          <w:rFonts w:ascii="SimSun" w:hAnsi="SimSun" w:eastAsia="SimSun" w:cs="SimSun"/>
          <w:color w:val="000000"/>
          <w:sz w:val="36"/>
        </w:rPr>
        <w:t xml:space="preserve">1</w:t>
      </w:r>
      <w:r/>
    </w:p>
    <w:p>
      <w:pPr>
        <w:ind w:left="0" w:right="0" w:firstLine="0"/>
        <w:spacing w:before="240" w:after="57" w:line="113" w:lineRule="atLeast"/>
        <w:tabs>
          <w:tab w:val="left" w:pos="9746" w:leader="none"/>
        </w:tabs>
        <w:pBdr>
          <w:top w:val="none" w:color="000000" w:sz="4" w:space="0"/>
          <w:left w:val="none" w:color="000000" w:sz="4" w:space="0"/>
          <w:bottom w:val="none" w:color="000000" w:sz="4" w:space="0"/>
          <w:right w:val="none" w:color="000000" w:sz="4" w:space="0"/>
        </w:pBdr>
      </w:pPr>
      <w:r/>
      <w:r>
        <w:rPr>
          <w:rFonts w:ascii="SimSun" w:hAnsi="SimSun" w:eastAsia="SimSun" w:cs="SimSun"/>
          <w:sz w:val="36"/>
        </w:rPr>
        <w:t xml:space="preserve">第六章 响应文件格式</w:t>
      </w:r>
      <w:r>
        <w:rPr>
          <w:rFonts w:ascii="Times New Roman" w:hAnsi="Times New Roman" w:eastAsia="Times New Roman" w:cs="Times New Roman"/>
          <w:sz w:val="36"/>
        </w:rPr>
        <w:tab/>
        <w:t xml:space="preserve">2</w:t>
      </w:r>
      <w:r>
        <w:rPr>
          <w:rFonts w:ascii="SimSun" w:hAnsi="SimSun" w:eastAsia="SimSun" w:cs="SimSun"/>
          <w:color w:val="000000"/>
          <w:sz w:val="36"/>
        </w:rPr>
        <w:t xml:space="preserve">4</w:t>
      </w:r>
      <w:r/>
    </w:p>
    <w:p>
      <w:pPr>
        <w:ind w:left="0" w:right="0" w:firstLine="0"/>
        <w:spacing w:before="240" w:after="57" w:line="113" w:lineRule="atLeast"/>
        <w:tabs>
          <w:tab w:val="left" w:pos="9746" w:leader="none"/>
        </w:tabs>
        <w:pBdr>
          <w:top w:val="none" w:color="000000" w:sz="4" w:space="0"/>
          <w:left w:val="none" w:color="000000" w:sz="4" w:space="0"/>
          <w:bottom w:val="none" w:color="000000" w:sz="4" w:space="0"/>
          <w:right w:val="none" w:color="000000" w:sz="4" w:space="0"/>
        </w:pBdr>
      </w:p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磋商邀请</w:t>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南京涛辰项目管理咨询有限公司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南京大学附属中学</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南京大学附属中学2026-2028年度安保服务</w:t>
      </w:r>
      <w:r>
        <w:rPr>
          <w:rFonts w:ascii="SimSun" w:hAnsi="SimSun" w:eastAsia="SimSun" w:cs="SimSun"/>
          <w:color w:val="000000"/>
          <w:sz w:val="21"/>
        </w:rPr>
        <w:t xml:space="preserve">（项目名称）</w:t>
      </w:r>
      <w:r>
        <w:rPr>
          <w:rFonts w:ascii="宋体" w:hAnsi="宋体" w:eastAsia="宋体" w:cs="宋体"/>
          <w:color w:val="000000"/>
          <w:sz w:val="21"/>
          <w:szCs w:val="21"/>
        </w:rPr>
        <w:t xml:space="preserve">进行线下竞争性磋商采购，兹邀请符合资格条件的供应商提交响应文件。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r>
      <w:r>
        <w:rPr>
          <w:rFonts w:ascii="宋体" w:hAnsi="宋体" w:eastAsia="宋体" w:cs="宋体"/>
          <w:b/>
          <w:bCs/>
          <w:color w:val="000000"/>
          <w:sz w:val="21"/>
          <w:szCs w:val="21"/>
        </w:rPr>
        <w:t xml:space="preserve">一、项目基本情况</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1.项目编号：JSZC-320106-TCDL-C2025-0003</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2.项目名称：南京大学附属中学2026-2028年度安保服务</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3.预算金额：三年共360万元（120万元/年）</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4.采购需求：三个校区，2026、2027、2028三年的安保服务。详见“第四章 采购需求”</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5.合同履行期限：合同生效之日起三年。每年服务期满，采购人有权根据考核情况决定继续履行合同或终止合同。</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6.本项目不接受联合体</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t xml:space="preserve">二、申请人的资格要求</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（一）通用资格要求</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1.满足《中华人民共和国政府采购法》第二十二条规定，并提供下列材料：供应商信用承诺函（格式见第六章）。</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2.落实政府采购政策需满足的资格要求：本项目专门面向中小微企业采购，供应商应为中小微企业或监狱企业或残疾人福利性单位。（声明函格式见第六章）</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本项目采购标的对应的中小企业划分标准所属行业为：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t xml:space="preserve">（二）本项目的特定资格要求：</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1.供应商应具有江苏省公安厅颁发的《保安服务许可证》，提供证明材料加盖公章。</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2.供应商提供南京市公安局出具的自行招用保安员单位备案证明，或自开展保安服务之日起30个工作日内向南京市公安局备案承诺书（格式自拟）。</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（三）拒绝下述供应商参加本次采购活动：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1.供应商单位负责人为同一人或者存在直接控股、管理关系的不同供应商，不得参加同一合同项下的政府采购活动。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2.凡为采购项目提供规范编制或者项目管理、监理、检测等服务的供应商，不得再参加本项目的采购活动。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3.供应商被“信用中国”网站（www.creditchina.gov.cn）、“中国政府采购网”(www.ccgp.gov.cn)列入失信被执行人、重大税收违法失信主体、政府采购严重违法失信行为记录名单。</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t xml:space="preserve">三、获取采购文件</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时间：自磋商文件公告发布之日起5个工作日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地点：“江苏省政府采购网”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t xml:space="preserve">四、响应文件提交</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截止时间：2025-12-01 14:30 （北京时间）</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地点：江苏省政府采购交易系统（以下简称“苏采云系统”）网上开标大厅</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t xml:space="preserve">五、开启</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时间：2025-12-01 14:30 （北京时间）</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地点：网上开标大厅“苏采云”政府采购交易系统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t xml:space="preserve">六、公告期限</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自本公告发布之日起5个工作日。</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1"/>
          <w:szCs w:val="21"/>
        </w:rPr>
        <w:t xml:space="preserve">七、其他补充事宜</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1.本次磋商不收取磋商保证金。</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2.潜在供应商访问政府采购管理交易系统（苏采云）的网络地址和方法：</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（2）“CA数字证书”的获取：供应商需办理CA锁，“苏采云”系统目前仅支持“苏采云”系统下的政务CA，省内各地区办理的“苏采云”系统下的政务CA全省通用。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（3）“CA数字证书”的办理材料以及供应商操作手册详见：http://jsxcmm.com/help/gys.html。</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（4）潜在供应商访问“苏采云”系统的网络地址和方法：“苏采云”系统的网址：http://jszfcg.jsczt.cn/jszc/login。</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（5）采购文件（后缀名为“.kedt”）、供应商《苏采云系统供应商操作手册》（以下简称《操作手册》）及政府采购客户端工具也可通过“苏采云”系统--已报名项目--报名详情页面内相应链接进行下载。</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（6）招标代理机构（采购代理机构）将数据电文形式的采购文件加载至“苏采云”系统，供潜在供应商下载或者查阅。</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（7）苏采云系统使用谷歌浏览器参与不见面开标。</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3.供应商信用承诺函：</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根据《关于在政府采购活动中推行信用承诺制的通知》宁财购通〔2021〕5号规定，参加南京地区政府采购活动的供应商，应以书面形式向采购人或政府采购代理机构作出信用承诺，由法人签字并加盖电子公章(格式见第六章)。</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4.是否接受进口产品：不接受。</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5.集中考察现场及答疑时间、地点：采购人不组织，供应商如果对采购需求有疑问请和采购单位联系人沟通。</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6.报价响应人应当按照《操作手册》规定，在招标公告规定的投标截止时间前制作并上传电子投标文件。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7.报价响应人应充分考虑网络环境、网络带宽等因素可能对投标产生的影响，如因投标供应商自身原因造成的电子投标文件上传不成功的，做无效响应文件处理。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8.招标代理公司可以按照规定，通过修改采购文件酌情延长投标截止时间，在此情况下，供应商的所有权利和义务均以延长后新的截止时间为准。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9.有关本次招标的事项若存在变动或修改，敬请及时关注“南京公共采购信息网”、“江苏政府采购网”发布的信息更正公告。</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10.对本次采购提出询问，请按以下方式联系</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（1）采购人信息</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名称：南京大学附属中学</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  址：南京市鼓楼街83号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联系人：郭明</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联系电话：13601432789</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（2）采购代理机构信息</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名称：南京涛辰项目管理咨询有限公司</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　址：江苏省南京市鼓楼区北祥路67号泛悦城市广场T2栋610室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联系人：崔先生</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联系电话：18705183960</w:t>
      </w:r>
      <w:r>
        <w:rPr>
          <w:rFonts w:ascii="宋体" w:hAnsi="宋体" w:eastAsia="宋体" w:cs="宋体"/>
          <w:color w:val="000000"/>
          <w:sz w:val="21"/>
          <w:szCs w:val="21"/>
        </w:rPr>
      </w:r>
      <w:r/>
    </w:p>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1.适用法律</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1.1 《中华人民共和国政府采购法》、《中华人民共和国政府采购法实施条例》、《政府采购非招标采购方式管理办法》等法律、规章和规定等。</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2.定义</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2.1 “供应商”是指参加响应竞争，并符合采购文件规定资格条件的法人、其他组织或者自然人。</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2.2 “货物和服务”指本采购文件中所述产品及相关服务。</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2.3 本次采购除特别说明外不接受进口产品，进口产品是指通过中国海关报关验放进入中国境内且产自关境外的产品。</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2.4 “用户或使用单位”是指使用货物的单位。</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3.政策功能</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3.1 政府采购促进中小企业发展，小企业（含小型、微型企业）提供的产品和服务在评审时将获得优势，参加响应的小企业，应当提供《中小企业声明函》（“中小企业划型标准”详见《关于印发中小企业划型标准规定的通知》工信部联企业〔2011〕300号及《国家统计局关于印发统计上大中小微型企业划分办法的通知》国统字〔2011〕75号）。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（1）在货物采购项目中，货物由中小企业制造，即货物由中小企业生产且使用该中小企业商号或者注册商标；</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（2）在工程采购项目中，工程由中小企业承建，即工程施工单位为中小企业；</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（3）在服务采购项目中，服务由中小企业承接，即提供服务的人员为中小企业依照《中华人民共和国劳动合同法》订立劳动合同的从业人员。</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在货物采购项目中，供应商提供的货物既有中小企业制造货物，也有大型企业制造货物的，不享受中小企业扶持政策。</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中小企业供应商参加政府采购活动，应当出具《中小企业声明函》（格式见后附件），否则不得享受相关中小企业扶持政策。</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3.2 政府采购支持监狱和戒毒企业发展政策，监狱和戒毒企业提供的产品和服务在评审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3.3 政府采购促进残疾人就业政策，残疾人福利性单位提供的产品和服务在评审时将获得优势，参加响应的残疾人福利性单位，应当提供《残疾人福利性单位声明函》，残疾人福利性单位享受政府采购支持政策的要求详见财库〔2017〕141号。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3.5 提供的产品属于信息安全产品的，供应商应当选择经国家认证的信息安全产品响应，并提供由中国信息安全认证中心按国家标准认证颁发的有效认证证书复印件。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3.6 提供的产品属于政府强制采购节能产品的，供应商应当选择经过认证的节能产品响应，并提供有效的节能产品认证证书复印件。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3.7 提供的产品属于环境标志产品的，供应商应当选择经过认证的环境标志产品响应，并提供有效的环境标志产品认证证书复印件。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4.采购文件组成</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4.2 采购的最小单位是包。采购货物数量及技术要求中未分包的，供应商对要求提供的货物不得部分投标；招标货物数量及技术要求中已经分包的，应当以包为单位投标。</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4.3 采购文件如果要求供应商提交备选投标方案的，供应商可以提交备选方案，否则，不接受备选方案。</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5.采购文件的澄清、修改</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br/>
        <w:t xml:space="preserve">    </w:t>
      </w:r>
      <w:r>
        <w:rPr>
          <w:rFonts w:ascii="宋体" w:hAnsi="宋体" w:eastAsia="宋体" w:cs="宋体"/>
          <w:b/>
          <w:bCs/>
          <w:color w:val="000000"/>
          <w:sz w:val="21"/>
          <w:szCs w:val="21"/>
        </w:rPr>
        <w:t xml:space="preserve">6.响应文件的语言、计量单位、货币和技术标准。</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6.2 供应商所使用的计量单位应为国家法定计量单位。</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6.3 供应商所使用的币种位应为人民币，单位为“元”。</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6.4 供应商所使用的技术标准应遵循国家最新标准及规范。</w:t>
        <w:br/>
        <w:t xml:space="preserve">    </w:t>
      </w:r>
      <w:r>
        <w:rPr>
          <w:rFonts w:ascii="宋体" w:hAnsi="宋体" w:eastAsia="宋体" w:cs="宋体"/>
          <w:b/>
          <w:bCs/>
          <w:color w:val="000000"/>
          <w:sz w:val="21"/>
          <w:szCs w:val="21"/>
        </w:rPr>
        <w:t xml:space="preserve">7.响应文件的组成</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7.1 响应文件的商务部分。</w:t>
      </w:r>
      <w:r>
        <w:rPr>
          <w:rFonts w:ascii="宋体" w:hAnsi="宋体" w:eastAsia="宋体" w:cs="宋体"/>
          <w:b w:val="0"/>
          <w:bCs w:val="0"/>
          <w:color w:val="000000"/>
          <w:sz w:val="21"/>
          <w:szCs w:val="21"/>
        </w:rPr>
        <w:t xml:space="preserve">商务部分是证明供应商有资格参加采购和成交后有能力履行合同的文件，这些文件应能满足采购文件的要求，包括但不限于下列文件，其中加“★”项目不得有缺失或无效：</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 </w:t>
      </w:r>
      <w:r>
        <w:rPr>
          <w:rFonts w:ascii="宋体" w:hAnsi="宋体" w:eastAsia="宋体" w:cs="宋体"/>
          <w:color w:val="000000"/>
          <w:sz w:val="21"/>
          <w:szCs w:val="21"/>
        </w:rPr>
        <w:t xml:space="preserve">磋商</w:t>
      </w:r>
      <w:r>
        <w:rPr>
          <w:rFonts w:ascii="宋体" w:hAnsi="宋体" w:eastAsia="宋体" w:cs="宋体"/>
          <w:color w:val="000000"/>
          <w:sz w:val="21"/>
          <w:szCs w:val="21"/>
        </w:rPr>
        <w:t xml:space="preserve">响应函</w:t>
      </w:r>
      <w:r>
        <w:rPr>
          <w:rFonts w:ascii="宋体" w:hAnsi="宋体" w:eastAsia="宋体" w:cs="宋体"/>
          <w:color w:val="000000"/>
          <w:sz w:val="21"/>
          <w:szCs w:val="21"/>
        </w:rPr>
        <w:t xml:space="preserve">；</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 法定代表人授权委托书及委托代理人的身份证复印件；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 第一章申请人的资格要求中供应商资质条件、能力和信誉的证明文件；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（4）《商务条款偏离表》；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（5）合同草案条款；</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（6）供应商认为需要提供的其他资格证明文件和商务资料等。</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7.2 响应文件的技术部分。</w:t>
      </w:r>
      <w:r>
        <w:rPr>
          <w:rFonts w:ascii="宋体" w:hAnsi="宋体" w:eastAsia="宋体" w:cs="宋体"/>
          <w:color w:val="000000"/>
          <w:sz w:val="21"/>
          <w:szCs w:val="21"/>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其中加“★”项目不得有缺失或无效：</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7.3 响应文件的价格部分</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7.3.2 供应商应针对采购需求进行报价。</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7.3.3 供应商任何错漏、优惠、报价不得作为减轻责任、减少服务、增加收费、降低质量的理由。</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7.3.4 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7.3.5 政府采购提倡公平竞争，反对盲目压价参与磋商，任何盲目压价和低于成本报价将会被拒绝。</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7.3.6 经磋商后，如果成交价高于或低于供应商在响应文件首次报价的，分项报价同比例调整。</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7.4 响应文件的其他部分。</w:t>
      </w:r>
      <w:r>
        <w:rPr>
          <w:rFonts w:ascii="宋体" w:hAnsi="宋体" w:eastAsia="宋体" w:cs="宋体"/>
          <w:color w:val="000000"/>
          <w:sz w:val="21"/>
          <w:szCs w:val="21"/>
        </w:rPr>
        <w:t xml:space="preserve">其他部分由供应商根据编制响应文件需要提供的其他相关文件。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8.评定成交标准</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详见“第三章 评审办法和标准”。</w:t>
      </w:r>
      <w:r>
        <w:rPr>
          <w:rFonts w:ascii="宋体" w:hAnsi="宋体" w:eastAsia="宋体" w:cs="宋体"/>
          <w:b/>
          <w:bCs/>
          <w:color w:val="000000"/>
          <w:sz w:val="21"/>
          <w:szCs w:val="21"/>
          <w14:ligatures w14:val="none"/>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9.询问、质疑、投诉和诚实信用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9.1 供应商认为采购文件、采购过程和成交结果使自己的合法权益受到损害的，可以在知道或者应当知道其权益受到损害之日起七个工作日内，将质疑文件原件送达采购代理机构。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9.2 质疑供应商的质疑行为和质疑函的主要内容应符合财政部94号令相关规定，未参加采购活动的供应商或在采购活动中自身权益未受到损害的供应商所提出的质疑不予受理。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9.3 上述应知其权益受到损害之日是指：</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（1）对采购文件提出质疑的，为采购文件公告期限届满之日起计算；</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（2）对采购过程提出质疑的，自采购程序环节结束之日起计算；</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（3）对采购结果提出质疑的，自采购结果公告期限届满之日起计算。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9.4 质疑供应商在法定质疑期内应当一次性提出针对同一采购环节的质疑事项。</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9.5 代理机构在收到供应商的质疑后将及时组织调查核实，在七个工作日内作出答复，答复的内容不涉及商业秘密。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9.6 代理机构遵循“谁过错谁负担”的原则，有过错的一方承担调查论证费用。违规质疑或多次质疑不成立的，将被列入不良行为记录。”</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10.提交响应文件</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10.1 供应商应当按照采购文件的商务、技术等要求逐一响应，编制响应文件，并对其真实性、合法性承担法律责任。</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10.2 供应商应实质性响应采购文件的各项要求，实质性要求不得负偏离。</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10.3 供应商应逐一说明提供的服务响应。</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10.4 供应商提供的产品属于国家认定的节能产品、环境标志产品、信息安全产品、强制认证产品的，应提供认证证书。</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10.5 供应商提供的服务由小微企业承接的，应在响应文件中说明。</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10.6 供应商应当按照《操作手册》规定，在磋商公告规定的提交响应文件截止时间前制作并上传电子响应文件。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10.7 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10.8 采购代理机构可以按照规定，通过修改磋商文件酌情延长提交响应文件截止日期，在此情况下，供应商的所有权利和义务均以延长后新的截止日期为准。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11.响应文件的拒收</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11.1 采购代理机构拒绝接收提交响应文件截止时间后上传的任何电子响应文件。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12.响应文件的修改和撤回</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12.1 供应商在规定的提交响应文件截止之时间之前，可以对所提交的响应文件进行补充、修改或撤回。供应商撤回电子响应文件，则认为其不再参与本项目磋商活动。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12.2 提交响应文件截止时间后，响应文件不能修改和撤回；如果以书面形式向代理机构申请撤回的，一年内不得参加政府采购活动。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13.响应文件的解密</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供应商应当按照《操作手册》规定，在苏采云系统规定的时间内对响应文件进行解密。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14.评审组织</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14.1.1 供应商提交响应文件截止时间后，代理机构组织项目评审小组对响应文件进行评审。</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14.1.2 项目评审小组由采购人代表和有关技术、经济等方面的专家组成，并独立履行下列职责：</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（1）审查供应商的响应文件并作出评价；</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（2）要求供应商解释或者澄清其响应文件；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（3）编写评审报告；</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（4）告知采购人、代理机构在评审过程中发现的供应商的违法违规行为。</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 评审程序</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14.2.3 评审小组所有成员应当集中与单一供应商分别进行磋商，并给予所有参加磋商的供应商平等的磋商机会。</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14.2.4 磋商小组将与通过资格审查和符合性审查的供应商分别进行磋商。磋商小组通过苏采云系统向供应商发出《磋商函》，供应商应当按照要求在苏采云系统提交《磋商响应函》并加盖电子公章。</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14.2.6 其他约定。最后报价是供应商响应文件的有效组成部分，</w:t>
      </w:r>
      <w:r>
        <w:rPr>
          <w:rFonts w:ascii="宋体" w:hAnsi="宋体" w:eastAsia="宋体" w:cs="宋体"/>
          <w:b/>
          <w:bCs/>
          <w:color w:val="000000"/>
          <w:sz w:val="21"/>
          <w:szCs w:val="21"/>
        </w:rPr>
        <w:t xml:space="preserve">除项目扩大了供货范围，增加了采购内容、提高了技术要求外，原则上不得高于上一轮报价。</w:t>
      </w:r>
      <w:r>
        <w:rPr>
          <w:rFonts w:ascii="宋体" w:hAnsi="宋体" w:eastAsia="宋体" w:cs="宋体"/>
          <w:color w:val="000000"/>
          <w:sz w:val="21"/>
          <w:szCs w:val="21"/>
        </w:rPr>
        <w:t xml:space="preserve">提交响应文件的供应商满三家但经评审实质响应采购文件只有两家的，经评审小组认定，采购文件没有不合理条款、采购程序符合规定的，竞争性磋商可以继续进行。</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14.2.8 响应文件属下列情形之一的，按照无效处理：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（1）不符合《中华人民共和国政府采购法》第二十二条规定条件的；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（2）不具备采购人根据采购项目的特殊要求规定特定条件的；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（3）参加政府采购活动前三年内，在经营活动中有重大违法记录的；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（4）被信用中国网站、中国政府采购网站列入失信被执行人名单、重大税收违法失信主体、政府采购严重违法失信行为记录名单的；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（5）在全国范围内受过财政部门禁止参加政府采购活动的处罚期限未满的；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（6）为本采购项目提供整体设计、规范编制，以及项目管理、监理、检测等服务；</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（7）参加本次采购活动不同供应商的授权代理人(或法定代表人、项目经理、项目总监、项目负责人等)在采购文件发布日上月至响应截止日当月在同一单位缴纳社会保险的；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（8）参加本次采购活动不同供应商的法定代表人或委托代理人有夫妻、直系血亲关系的；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（9）参加本次采购活动不同供应商的负责人为同一人，或不同供应商之间存在直接控股、管理关系的；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（10）未按照采购文件要求盖章的；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（11）报价超出采购项目预算的；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（12）未逐一说明提供的服务响应的；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（13）不符合法律、法规和采购文件规定的其他实质性要求的。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14.3 出现下列情形之一的，终止采购活动：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（1）因情况变化，不再符合规定的采购方式适用情形的。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（2）出现影响采购公正的违法、违规行为的。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（3）除本磋商文件第二章第14.2.6条第三款规定的情形外，采购过程中符合要求的供应商或者提交最后报价且未超过采购预算（最高限价）的供应商不足3家的。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（4）在苏采云系统规定时间内成功解密电子响应文件的供应商不足3家的。</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14.4 评审委员会启动异常低价投标（响应）审查的情形和具体要求：</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14.4.1 评审过程中出现下列情形之一的，评审委员会应当启动异常低价投标（响应）审查程序：</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（1）投标（响应）报价低于采购项目预算50%的，即投标（响应）报价&lt;采购项目预算×50%；</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（2）投标（响应）报价低于采购项目最高限价45%的，即投标（响应）报价&lt;采购项目最高限价×45；</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（3）评审委员会认定的供应商报价过低、有可能影响产品质量或者不能诚信履约的其他情形。</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14.4.2 异常低价投标（响应）审查：评审委员会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评审委员会应当将其作为无效响应处理。</w:t>
        <w:br/>
      </w:r>
      <w:r>
        <w:rPr>
          <w:rFonts w:ascii="宋体" w:hAnsi="宋体" w:eastAsia="宋体" w:cs="宋体"/>
          <w:b/>
          <w:bCs/>
          <w:color w:val="000000"/>
          <w:sz w:val="21"/>
          <w:szCs w:val="21"/>
        </w:rPr>
        <w:t xml:space="preserve">15.确定成交供应商</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15.1 在综合比较与评价后按照得分由高到低顺序对供应商进行排列。得分相同的，按报价由低到高顺序排列。得分且报价相同的，按技术指标和服务标准优劣顺序排列。评审小组根据排名确定1-3名成交候选人。</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15.2 按以下第（2）种方式确定成交供应商：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（1）评审小组直接确定排名第一的成交候选人为成交供应商；</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（2）采购人在评审小组推荐的成交候选人中按顺序确定成交供应商。 </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15.3 成交供应商确定之日起2个工作日内，成交供应商应及时支付代理服务费后到代理机构领取《成交通知书》。</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15.4 成交供应商确定之日起两个工作日内，将在财政部门指定的政府采购信息发布媒体上公告。</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15.5 成交通知书对采购人和成交供应商具有同等法律效力。</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15.6 代理机构和项目评审小组对未成交的供应商不作未成交原因的解释。</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15.7 所有响应文件都将作为档案保存，不论成交与否，代理机构均不退回。</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16.编写评审报告</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项目评审小组根据全体评审成员签字的原始评审记录和评审结果编写评审报告。</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17.评审过程的保密性</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17.1 代理机构将采取必要措施，保证评审在严格保密的情况下进行。</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17.2 任何单位和个人不得非法干预、影响评审办法的确定，以及评审过程和结果。</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17.3 凡是与审查、澄清、评价和比较响应的有关资料等，均不向供应商及与评审无关的其他人员透露。</w:t>
      </w:r>
      <w:r>
        <w:rPr>
          <w:rFonts w:ascii="宋体" w:hAnsi="宋体" w:eastAsia="宋体" w:cs="宋体"/>
          <w:b/>
          <w:bCs/>
          <w:color w:val="000000"/>
          <w:sz w:val="21"/>
          <w:szCs w:val="21"/>
          <w14:ligatures w14:val="none"/>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18.签订合同</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18.1 成交供应商应当自成交通知书发出之日起三十日内，按照采购文件确定的事项与采购人签订采购合同，所签订的合同不得对采购文件和成交供应商响应文件作实质性修改。</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18.2 成交供应商和采购人不得向对方提出任何不合理的要求作为签订合同的条件，不得私下订立背离合同实质性内容的协议。</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19.响应有效期</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19.1 从响应文件开启之日起60天内有效。响应文件有效期比规定短的将被视为非实质性响应磋商文件而被拒绝。</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19.2 在特殊情况下，在原响应有效期内，采购人可征得供应商同意延长响应有效期。这种要求与答复均应为书面形式如电传、传真等。同意延长的供应商既不能被要求也不允许修改其响应文件。</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b/>
          <w:bCs/>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bCs/>
          <w:color w:val="000000"/>
          <w:sz w:val="21"/>
          <w:szCs w:val="21"/>
        </w:rPr>
        <w:t xml:space="preserve">20.代理服务费</w:t>
      </w:r>
      <w:r>
        <w:rPr>
          <w:rFonts w:ascii="宋体" w:hAnsi="宋体" w:eastAsia="宋体" w:cs="宋体"/>
          <w:b/>
          <w:bCs/>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20.1 本次采购的代理服务费由成交供应商承担；依据《江苏省招标代理服务收费的指导意见》（苏政采协[2024]20号）最低收费金额（50万元以下部分1.6%，50-400万元部分1.5%）的七折计算，开具增值税普通发票。</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20.2 汇款信息</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账户名称：南京涛辰项目管理咨询有限公司</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开户行：交通银行南京中央北路支行</w:t>
      </w:r>
      <w:r>
        <w:rPr>
          <w:rFonts w:ascii="宋体" w:hAnsi="宋体" w:eastAsia="宋体" w:cs="宋体"/>
          <w:color w:val="000000"/>
          <w:sz w:val="21"/>
          <w:szCs w:val="21"/>
        </w:rPr>
      </w:r>
      <w:r/>
    </w:p>
    <w:p>
      <w:pPr>
        <w:contextualSpacing w:val="0"/>
        <w:ind w:left="0" w:right="0" w:firstLine="437"/>
        <w:jc w:val="left"/>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1"/>
          <w:szCs w:val="21"/>
        </w:rPr>
        <w:t xml:space="preserve">对公账号：320006645013004526143。</w:t>
      </w:r>
      <w:r>
        <w:rPr>
          <w:rFonts w:ascii="宋体" w:hAnsi="宋体" w:eastAsia="宋体" w:cs="宋体"/>
          <w:color w:val="000000"/>
          <w:sz w:val="21"/>
          <w:szCs w:val="21"/>
        </w:rPr>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第三章合同文本</w:t>
      </w:r>
      <w:r>
        <w:rPr>
          <w:rFonts w:ascii="宋体" w:hAnsi="宋体" w:cs="宋体"/>
        </w:rPr>
      </w:r>
      <w:r/>
    </w:p>
    <w:p>
      <w:pPr>
        <w:ind w:left="0" w:right="0" w:firstLine="48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u w:val="none"/>
        </w:rPr>
        <w:t xml:space="preserve">以下</w:t>
      </w:r>
      <w:r>
        <w:rPr>
          <w:rFonts w:ascii="宋体" w:hAnsi="宋体" w:eastAsia="宋体" w:cs="宋体"/>
          <w:color w:val="000000"/>
          <w:sz w:val="24"/>
        </w:rPr>
        <w:t xml:space="preserve">为本项目的合同条款，合同双方不得对采购、响应文件内容作实质性修改。</w:t>
      </w:r>
      <w:r>
        <w:rPr>
          <w:rFonts w:ascii="宋体" w:hAnsi="宋体" w:cs="宋体"/>
        </w:rPr>
      </w:r>
      <w:r/>
    </w:p>
    <w:p>
      <w:pPr>
        <w:ind w:left="0" w:right="0" w:firstLine="0"/>
        <w:jc w:val="center"/>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30"/>
        </w:rPr>
        <w:t xml:space="preserve"> </w:t>
      </w:r>
      <w:r>
        <w:rPr>
          <w:rFonts w:ascii="宋体" w:hAnsi="宋体" w:cs="宋体"/>
        </w:rPr>
      </w:r>
      <w:r/>
    </w:p>
    <w:p>
      <w:pPr>
        <w:ind w:left="0" w:right="0" w:firstLine="0"/>
        <w:jc w:val="center"/>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32"/>
        </w:rPr>
        <w:t xml:space="preserve">政府采购合同（</w:t>
      </w:r>
      <w:r>
        <w:rPr>
          <w:rFonts w:ascii="宋体" w:hAnsi="宋体" w:eastAsia="宋体" w:cs="宋体"/>
          <w:color w:val="000000"/>
          <w:sz w:val="32"/>
        </w:rPr>
        <w:t xml:space="preserve">服务</w:t>
      </w:r>
      <w:r>
        <w:rPr>
          <w:rFonts w:ascii="宋体" w:hAnsi="宋体" w:eastAsia="宋体" w:cs="宋体"/>
          <w:color w:val="000000"/>
          <w:sz w:val="32"/>
        </w:rPr>
        <w:t xml:space="preserve">）</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合同编号：</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项目名称：项目编号：</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甲方：（买方）</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乙方：（卖方）</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    </w:t>
      </w:r>
      <w:r>
        <w:rPr>
          <w:rFonts w:ascii="宋体" w:hAnsi="宋体" w:eastAsia="宋体" w:cs="宋体"/>
          <w:color w:val="000000"/>
          <w:sz w:val="21"/>
        </w:rPr>
        <w:t xml:space="preserve">甲、乙双方根据</w:t>
      </w:r>
      <w:r>
        <w:rPr>
          <w:rFonts w:ascii="宋体" w:hAnsi="宋体" w:eastAsia="宋体" w:cs="宋体"/>
          <w:color w:val="000000"/>
          <w:sz w:val="21"/>
        </w:rPr>
        <w:t xml:space="preserve">南京涛辰项目管理咨询有限公司</w:t>
      </w:r>
      <w:r>
        <w:rPr>
          <w:rFonts w:ascii="宋体" w:hAnsi="宋体" w:eastAsia="宋体" w:cs="宋体"/>
          <w:color w:val="000000"/>
          <w:sz w:val="21"/>
        </w:rPr>
        <w:t xml:space="preserve">组织的____________________项目</w:t>
      </w:r>
      <w:r>
        <w:rPr>
          <w:rFonts w:ascii="宋体" w:hAnsi="宋体" w:eastAsia="宋体" w:cs="宋体"/>
          <w:color w:val="000000"/>
          <w:sz w:val="21"/>
        </w:rPr>
        <w:t xml:space="preserve">竞争性磋商</w:t>
      </w:r>
      <w:r>
        <w:rPr>
          <w:rFonts w:ascii="宋体" w:hAnsi="宋体" w:eastAsia="宋体" w:cs="宋体"/>
          <w:color w:val="000000"/>
          <w:sz w:val="21"/>
        </w:rPr>
        <w:t xml:space="preserve">结果，签署本合同。</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一、合同内容</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 标的名称：</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 标的质量：按</w:t>
      </w:r>
      <w:r>
        <w:rPr>
          <w:rFonts w:ascii="宋体" w:hAnsi="宋体" w:eastAsia="宋体" w:cs="宋体"/>
          <w:color w:val="000000"/>
          <w:sz w:val="21"/>
        </w:rPr>
        <w:t xml:space="preserve">磋商文件</w:t>
      </w:r>
      <w:r>
        <w:rPr>
          <w:rFonts w:ascii="宋体" w:hAnsi="宋体" w:eastAsia="宋体" w:cs="宋体"/>
          <w:color w:val="000000"/>
          <w:sz w:val="21"/>
        </w:rPr>
        <w:t xml:space="preserve">及响应文件执行。</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1.3 标的数量（规模）：</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1.4 履行时间（期限）：按</w:t>
      </w:r>
      <w:r>
        <w:rPr>
          <w:rFonts w:ascii="宋体" w:hAnsi="宋体" w:eastAsia="宋体" w:cs="宋体"/>
          <w:color w:val="000000"/>
          <w:sz w:val="21"/>
        </w:rPr>
        <w:t xml:space="preserve">磋商文件</w:t>
      </w:r>
      <w:r>
        <w:rPr>
          <w:rFonts w:ascii="宋体" w:hAnsi="宋体" w:eastAsia="宋体" w:cs="宋体"/>
          <w:color w:val="000000"/>
          <w:sz w:val="21"/>
        </w:rPr>
        <w:t xml:space="preserve">及响应文件执行。</w:t>
      </w:r>
      <w:r>
        <w:rPr>
          <w:rFonts w:ascii="宋体" w:hAnsi="宋体" w:cs="宋体"/>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1.5 履行地点：采购人指定地点。</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1.6 履行方式：按</w:t>
      </w:r>
      <w:r>
        <w:rPr>
          <w:rFonts w:ascii="宋体" w:hAnsi="宋体" w:eastAsia="宋体" w:cs="宋体"/>
          <w:color w:val="000000"/>
          <w:sz w:val="21"/>
          <w:szCs w:val="21"/>
        </w:rPr>
        <w:t xml:space="preserve">磋商文件</w:t>
      </w:r>
      <w:r>
        <w:rPr>
          <w:rFonts w:ascii="宋体" w:hAnsi="宋体" w:eastAsia="宋体" w:cs="宋体"/>
          <w:color w:val="000000"/>
          <w:sz w:val="21"/>
          <w:szCs w:val="21"/>
        </w:rPr>
        <w:t xml:space="preserve">及响应文件执行。</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1.7 包装方式：按</w:t>
      </w:r>
      <w:r>
        <w:rPr>
          <w:rFonts w:ascii="宋体" w:hAnsi="宋体" w:eastAsia="宋体" w:cs="宋体"/>
          <w:color w:val="000000"/>
          <w:sz w:val="21"/>
          <w:szCs w:val="21"/>
        </w:rPr>
        <w:t xml:space="preserve">磋商文件</w:t>
      </w:r>
      <w:r>
        <w:rPr>
          <w:rFonts w:ascii="宋体" w:hAnsi="宋体" w:eastAsia="宋体" w:cs="宋体"/>
          <w:color w:val="000000"/>
          <w:sz w:val="21"/>
          <w:szCs w:val="21"/>
        </w:rPr>
        <w:t xml:space="preserve">及响应文件执行。</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二、合同金额</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2.1 本合同金额为（大写）：____________________圆（____________________元）人民币。</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三、技术资料</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3.1 乙方应按采购文件规定的时间向甲方提供</w:t>
      </w:r>
      <w:r>
        <w:rPr>
          <w:rFonts w:ascii="宋体" w:hAnsi="宋体" w:eastAsia="宋体" w:cs="宋体"/>
          <w:color w:val="000000"/>
          <w:sz w:val="21"/>
          <w:szCs w:val="21"/>
        </w:rPr>
        <w:t xml:space="preserve">服务</w:t>
      </w:r>
      <w:r>
        <w:rPr>
          <w:rFonts w:ascii="宋体" w:hAnsi="宋体" w:eastAsia="宋体" w:cs="宋体"/>
          <w:color w:val="000000"/>
          <w:sz w:val="21"/>
          <w:szCs w:val="21"/>
        </w:rPr>
        <w:t xml:space="preserve">（包含与</w:t>
      </w:r>
      <w:r>
        <w:rPr>
          <w:rFonts w:ascii="宋体" w:hAnsi="宋体" w:eastAsia="宋体" w:cs="宋体"/>
          <w:color w:val="000000"/>
          <w:sz w:val="21"/>
          <w:szCs w:val="21"/>
        </w:rPr>
        <w:t xml:space="preserve">服务</w:t>
      </w:r>
      <w:r>
        <w:rPr>
          <w:rFonts w:ascii="宋体" w:hAnsi="宋体" w:eastAsia="宋体" w:cs="宋体"/>
          <w:color w:val="000000"/>
          <w:sz w:val="21"/>
          <w:szCs w:val="21"/>
        </w:rPr>
        <w:t xml:space="preserve">相关的</w:t>
      </w:r>
      <w:r>
        <w:rPr>
          <w:rFonts w:ascii="宋体" w:hAnsi="宋体" w:eastAsia="宋体" w:cs="宋体"/>
          <w:color w:val="000000"/>
          <w:sz w:val="21"/>
          <w:szCs w:val="21"/>
        </w:rPr>
        <w:t xml:space="preserve">货物</w:t>
      </w:r>
      <w:r>
        <w:rPr>
          <w:rFonts w:ascii="宋体" w:hAnsi="宋体" w:eastAsia="宋体" w:cs="宋体"/>
          <w:color w:val="000000"/>
          <w:sz w:val="21"/>
          <w:szCs w:val="21"/>
        </w:rPr>
        <w:t xml:space="preserve">）的有关技术资料。</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四、知识产权</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4.1 乙方应保证甲方在使用、接受本合同</w:t>
      </w:r>
      <w:r>
        <w:rPr>
          <w:rFonts w:ascii="宋体" w:hAnsi="宋体" w:eastAsia="宋体" w:cs="宋体"/>
          <w:color w:val="000000"/>
          <w:sz w:val="21"/>
          <w:szCs w:val="21"/>
        </w:rPr>
        <w:t xml:space="preserve">服务</w:t>
      </w:r>
      <w:r>
        <w:rPr>
          <w:rFonts w:ascii="宋体" w:hAnsi="宋体" w:eastAsia="宋体" w:cs="宋体"/>
          <w:color w:val="000000"/>
          <w:sz w:val="21"/>
          <w:szCs w:val="21"/>
        </w:rPr>
        <w:t xml:space="preserve">（包含与</w:t>
      </w:r>
      <w:r>
        <w:rPr>
          <w:rFonts w:ascii="宋体" w:hAnsi="宋体" w:eastAsia="宋体" w:cs="宋体"/>
          <w:color w:val="000000"/>
          <w:sz w:val="21"/>
          <w:szCs w:val="21"/>
        </w:rPr>
        <w:t xml:space="preserve">服务</w:t>
      </w:r>
      <w:r>
        <w:rPr>
          <w:rFonts w:ascii="宋体" w:hAnsi="宋体" w:eastAsia="宋体" w:cs="宋体"/>
          <w:color w:val="000000"/>
          <w:sz w:val="21"/>
          <w:szCs w:val="21"/>
        </w:rPr>
        <w:t xml:space="preserve">相关的</w:t>
      </w:r>
      <w:r>
        <w:rPr>
          <w:rFonts w:ascii="宋体" w:hAnsi="宋体" w:eastAsia="宋体" w:cs="宋体"/>
          <w:color w:val="000000"/>
          <w:sz w:val="21"/>
          <w:szCs w:val="21"/>
        </w:rPr>
        <w:t xml:space="preserve">货物</w:t>
      </w:r>
      <w:r>
        <w:rPr>
          <w:rFonts w:ascii="宋体" w:hAnsi="宋体" w:eastAsia="宋体" w:cs="宋体"/>
          <w:color w:val="000000"/>
          <w:sz w:val="21"/>
          <w:szCs w:val="21"/>
        </w:rPr>
        <w:t xml:space="preserve">）或其任何一部分时不受第三方提出侵犯其专利权、著作权、商标权、工业设计权、商业秘密等知识产权的起诉。一旦出现侵权，由乙方负全部责任。</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五、产权担保</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5.1 乙方保证所交付的</w:t>
      </w:r>
      <w:r>
        <w:rPr>
          <w:rFonts w:ascii="宋体" w:hAnsi="宋体" w:eastAsia="宋体" w:cs="宋体"/>
          <w:color w:val="000000"/>
          <w:sz w:val="21"/>
          <w:szCs w:val="21"/>
        </w:rPr>
        <w:t xml:space="preserve">服务</w:t>
      </w:r>
      <w:r>
        <w:rPr>
          <w:rFonts w:ascii="宋体" w:hAnsi="宋体" w:eastAsia="宋体" w:cs="宋体"/>
          <w:color w:val="000000"/>
          <w:sz w:val="21"/>
          <w:szCs w:val="21"/>
        </w:rPr>
        <w:t xml:space="preserve">（包含与</w:t>
      </w:r>
      <w:r>
        <w:rPr>
          <w:rFonts w:ascii="宋体" w:hAnsi="宋体" w:eastAsia="宋体" w:cs="宋体"/>
          <w:color w:val="000000"/>
          <w:sz w:val="21"/>
          <w:szCs w:val="21"/>
        </w:rPr>
        <w:t xml:space="preserve">服务</w:t>
      </w:r>
      <w:r>
        <w:rPr>
          <w:rFonts w:ascii="宋体" w:hAnsi="宋体" w:eastAsia="宋体" w:cs="宋体"/>
          <w:color w:val="000000"/>
          <w:sz w:val="21"/>
          <w:szCs w:val="21"/>
        </w:rPr>
        <w:t xml:space="preserve">相关的</w:t>
      </w:r>
      <w:r>
        <w:rPr>
          <w:rFonts w:ascii="宋体" w:hAnsi="宋体" w:eastAsia="宋体" w:cs="宋体"/>
          <w:color w:val="000000"/>
          <w:sz w:val="21"/>
          <w:szCs w:val="21"/>
        </w:rPr>
        <w:t xml:space="preserve">货物</w:t>
      </w:r>
      <w:r>
        <w:rPr>
          <w:rFonts w:ascii="宋体" w:hAnsi="宋体" w:eastAsia="宋体" w:cs="宋体"/>
          <w:color w:val="000000"/>
          <w:sz w:val="21"/>
          <w:szCs w:val="21"/>
        </w:rPr>
        <w:t xml:space="preserve">）的所有权完全属于乙方且无任何抵押、查封等产权瑕疵。</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六、履约保证金</w:t>
      </w:r>
      <w:r>
        <w:rPr>
          <w:rFonts w:ascii="宋体" w:hAnsi="宋体" w:eastAsia="宋体" w:cs="宋体"/>
          <w:color w:val="000000"/>
          <w:sz w:val="21"/>
          <w:szCs w:val="21"/>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本项目乙方无需缴纳履约保证金。</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七、合同转包或分包</w:t>
      </w:r>
      <w:r>
        <w:rPr>
          <w:rFonts w:ascii="宋体" w:hAnsi="宋体" w:cs="宋体"/>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7.1 乙方不得将合同标的转包给他人履行。</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7.2 除磋商文件接受分包并经甲方同意，乙方可按分包意向协议分包情况外，乙方不得将合同标的分包给他人履行。</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7.3 乙方如有转包或未经甲方同意的分包行为，甲方有权终止合同。</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八、合同款项支付</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8.1 合同款项的支付方式及时间</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8.1.1 甲方于合同签订后支付年度合同款的10%作为预付款，预付款从第一个季度的服务费中扣回。合同款按季考核合格后支付，考核扣除的费用从应支付的款项中扣除。最后一季度的安保服务费用在当年财政关账日前支付。</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8.1.2 满足合同约定支付条件的，甲方收到乙方发票后10个工作日内</w:t>
      </w:r>
      <w:r>
        <w:rPr>
          <w:rFonts w:ascii="宋体" w:hAnsi="宋体" w:eastAsia="宋体" w:cs="宋体"/>
          <w:color w:val="000000"/>
          <w:sz w:val="21"/>
        </w:rPr>
        <w:t xml:space="preserve">，将资金支付到合同约定的乙方</w:t>
      </w:r>
      <w:r>
        <w:rPr>
          <w:rFonts w:ascii="宋体" w:hAnsi="宋体" w:eastAsia="宋体" w:cs="宋体"/>
          <w:color w:val="000000"/>
          <w:sz w:val="21"/>
          <w:szCs w:val="21"/>
        </w:rPr>
        <w:t xml:space="preserve">账户。 </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8.2 根据工业和信息化部关于印发《保障中小企业款项支付投诉处理暂行办法》的通知（工信部企业〔2021〕224 号），甲方未按合同约定支付款项的，乙方可以向有关部门投诉。</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九、税费</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9.1 本合同执行中的相关税费均由乙方负担。</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十、项目验收</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10.1 甲方依法组织履约验收工作。</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eastAsia="宋体" w:cs="宋体"/>
          <w:color w:val="000000"/>
          <w:sz w:val="21"/>
          <w:szCs w:val="21"/>
        </w:rPr>
      </w:r>
      <w:r/>
    </w:p>
    <w:p>
      <w:pPr>
        <w:ind w:left="0" w:right="0" w:firstLine="0"/>
        <w:spacing w:before="0" w:after="0" w:line="82" w:lineRule="atLeast"/>
        <w:rPr>
          <w:rFonts w:ascii="宋体" w:hAnsi="宋体" w:eastAsia="宋体" w:cs="宋体"/>
          <w:color w:val="000000"/>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10.3 对于实际使用人和甲方分离的项目，甲方邀请实际使用人参与验收。</w:t>
      </w:r>
      <w:r>
        <w:rPr>
          <w:rFonts w:ascii="宋体" w:hAnsi="宋体" w:eastAsia="宋体" w:cs="宋体"/>
          <w:color w:val="000000"/>
          <w:sz w:val="21"/>
          <w:szCs w:val="21"/>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10.4 如有必要，甲方可邀请参加本项目投标的其他供应商或第三方专业机构及专家</w:t>
      </w:r>
      <w:r>
        <w:rPr>
          <w:rFonts w:ascii="宋体" w:hAnsi="宋体" w:eastAsia="宋体" w:cs="宋体"/>
          <w:color w:val="000000"/>
          <w:sz w:val="21"/>
        </w:rPr>
        <w:t xml:space="preserve">参与验收，相关意见将作为验收结论的参考。</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十一、违约责任</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11.1 甲方无正当理由拒绝接受乙方提供服务的，应向乙方偿付拒绝接受服务合同总额</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u w:val="single"/>
        </w:rPr>
        <w:t xml:space="preserve">     </w:t>
      </w:r>
      <w:r>
        <w:rPr>
          <w:rFonts w:ascii="宋体" w:hAnsi="宋体" w:eastAsia="宋体" w:cs="宋体"/>
          <w:color w:val="000000"/>
          <w:sz w:val="21"/>
        </w:rPr>
        <w:t xml:space="preserve">的违约金。</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11.2 甲方无故逾期验收和办理支付手续的，应按逾期付款总额每日</w:t>
      </w:r>
      <w:r>
        <w:rPr>
          <w:rFonts w:ascii="宋体" w:hAnsi="宋体" w:eastAsia="SimSun" w:cs="宋体"/>
          <w:color w:val="000000"/>
          <w:sz w:val="21"/>
          <w:u w:val="single"/>
        </w:rPr>
        <w:t xml:space="preserve">     </w:t>
      </w:r>
      <w:r>
        <w:rPr>
          <w:rFonts w:ascii="宋体" w:hAnsi="宋体" w:eastAsia="宋体" w:cs="宋体"/>
          <w:color w:val="000000"/>
          <w:sz w:val="21"/>
        </w:rPr>
        <w:t xml:space="preserve">向乙方支付违约金。</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11.3 乙方逾期提供服务的，应按逾期提供服务合同总额每日</w:t>
      </w:r>
      <w:r>
        <w:rPr>
          <w:rFonts w:ascii="宋体" w:hAnsi="宋体" w:eastAsia="SimSun" w:cs="宋体"/>
          <w:color w:val="000000"/>
          <w:sz w:val="21"/>
          <w:u w:val="single"/>
        </w:rPr>
        <w:t xml:space="preserve">     </w:t>
      </w:r>
      <w:r>
        <w:rPr>
          <w:rFonts w:ascii="宋体" w:hAnsi="宋体" w:eastAsia="宋体" w:cs="宋体"/>
          <w:color w:val="000000"/>
          <w:sz w:val="21"/>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eastAsia="SimSun" w:cs="宋体"/>
          <w:color w:val="000000"/>
          <w:sz w:val="21"/>
          <w:u w:val="single"/>
        </w:rPr>
        <w:t xml:space="preserve">    </w:t>
      </w:r>
      <w:r>
        <w:rPr>
          <w:rFonts w:ascii="宋体" w:hAnsi="宋体" w:eastAsia="宋体" w:cs="宋体"/>
          <w:color w:val="000000"/>
          <w:sz w:val="21"/>
        </w:rPr>
        <w:t xml:space="preserve">的违约金。</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11.4 乙方所提供服务的标准不符合合同规定及招标文件规定标准的，甲方有权拒绝接受服务，并可单方面解除合同。</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十二、不可抗力事件处理</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12.1 在合同有效期内，任何一方因不可抗力事件导致不能履行合同，则合同履行期可延长，其延长期与不可抗力影响期相同。</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12.2 不可抗力事件发生后，应立即通知对方并寄送有关权威机构出具的证明。</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12.3 不可抗力事件延续120天以上，双方应通过友好协商，确定是否继续履行合同。</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十三、解决争议的方法</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13.1 双方在签订、履行合同中所发生的一切争议，应通过友好协商解决。如协商不成的由甲方住所地人民法院管辖。</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十四、合同生效及其它</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14.1 本合同经双方加盖单位公章后生效。</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14.2 本合同未尽事宜，遵照《中华人民共和国民法典》《中华人民共和国政府采购法》有关条文执行。</w:t>
      </w:r>
      <w:r>
        <w:rPr>
          <w:rFonts w:ascii="宋体" w:hAnsi="宋体" w:cs="宋体"/>
        </w:rPr>
      </w:r>
      <w:r/>
    </w:p>
    <w:p>
      <w:pPr>
        <w:ind w:left="0" w:right="0" w:firstLine="0"/>
        <w:spacing w:before="0" w:after="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14.3 本合同正本一式两份，具有同等法律效力，甲方、乙方各执一份。</w:t>
      </w:r>
      <w:r>
        <w:rPr>
          <w:rFonts w:ascii="宋体" w:hAnsi="宋体" w:cs="宋体"/>
        </w:rPr>
      </w:r>
      <w:r/>
    </w:p>
    <w:p>
      <w:pPr>
        <w:ind w:left="0" w:right="0" w:firstLine="0"/>
        <w:spacing w:before="240" w:after="24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甲  方：（公章）                       乙  方：（公章） </w:t>
      </w:r>
      <w:r>
        <w:rPr>
          <w:rFonts w:ascii="宋体" w:hAnsi="宋体" w:cs="宋体"/>
          <w:sz w:val="24"/>
        </w:rPr>
      </w:r>
      <w:r/>
    </w:p>
    <w:p>
      <w:pPr>
        <w:ind w:left="0" w:right="0" w:firstLine="0"/>
        <w:spacing w:before="240" w:after="24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地  址：                               地  址： </w:t>
      </w:r>
      <w:r>
        <w:rPr>
          <w:rFonts w:ascii="宋体" w:hAnsi="宋体" w:cs="宋体"/>
        </w:rPr>
      </w:r>
      <w:r/>
    </w:p>
    <w:p>
      <w:pPr>
        <w:ind w:left="0" w:right="0" w:firstLine="0"/>
        <w:spacing w:before="240" w:after="24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法定代表人或授权代表：                 法定代表人或授权代表：</w:t>
      </w:r>
      <w:r>
        <w:rPr>
          <w:rFonts w:ascii="宋体" w:hAnsi="宋体" w:cs="宋体"/>
        </w:rPr>
      </w:r>
      <w:r/>
    </w:p>
    <w:p>
      <w:pPr>
        <w:ind w:left="0" w:right="0" w:firstLine="0"/>
        <w:spacing w:before="240" w:after="24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联系电话：                             联系电话：</w:t>
      </w:r>
      <w:r>
        <w:rPr>
          <w:rFonts w:ascii="宋体" w:hAnsi="宋体" w:cs="宋体"/>
        </w:rPr>
      </w:r>
      <w:r/>
    </w:p>
    <w:p>
      <w:pPr>
        <w:ind w:left="0" w:right="0" w:firstLine="0"/>
        <w:spacing w:before="240" w:after="240" w:line="82" w:lineRule="atLeast"/>
        <w:rPr>
          <w:rFonts w:ascii="宋体" w:hAnsi="宋体" w:eastAsia="SimSun"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sz w:val="24"/>
        </w:rPr>
      </w:r>
      <w:r/>
    </w:p>
    <w:p>
      <w:pPr>
        <w:ind w:left="0" w:right="0" w:firstLine="0"/>
        <w:spacing w:before="240" w:after="240" w:line="82"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eastAsia="宋体" w:cs="宋体"/>
          <w:color w:val="000000"/>
          <w:sz w:val="21"/>
        </w:rPr>
        <w:t xml:space="preserve">签订日期：</w:t>
      </w:r>
      <w:r>
        <w:rPr>
          <w:rFonts w:ascii="宋体" w:hAnsi="宋体" w:cs="宋体"/>
          <w:sz w:val="24"/>
        </w:rPr>
      </w:r>
      <w:r/>
    </w:p>
    <w:p>
      <w:pPr>
        <w:ind w:left="0" w:right="0" w:firstLine="0"/>
        <w:jc w:val="center"/>
        <w:spacing w:before="0" w:after="0" w:line="82"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0"/>
          <w:highlight w:val="none"/>
        </w:rPr>
      </w:r>
      <w:r>
        <w:rPr>
          <w:rFonts w:ascii="宋体" w:hAnsi="宋体" w:eastAsia="宋体" w:cs="宋体"/>
          <w:b/>
          <w:color w:val="000000"/>
          <w:sz w:val="30"/>
          <w:highlight w:val="none"/>
        </w:rPr>
      </w:r>
      <w:r/>
    </w:p>
    <w:p>
      <w:pPr>
        <w:ind w:left="0" w:right="0" w:firstLine="0"/>
        <w:jc w:val="center"/>
        <w:spacing w:before="0" w:after="0" w:line="82" w:lineRule="atLeast"/>
        <w:rPr>
          <w:rFonts w:ascii="宋体" w:hAnsi="宋体" w:eastAsia="宋体" w:cs="宋体"/>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0"/>
        </w:rPr>
        <w:t xml:space="preserve">《*******合同》补充协议（合同附件）</w:t>
      </w:r>
      <w:r>
        <w:rPr>
          <w:rFonts w:ascii="宋体" w:hAnsi="宋体" w:cs="宋体"/>
        </w:rPr>
      </w:r>
      <w:r/>
    </w:p>
    <w:p>
      <w:pPr>
        <w:ind w:left="0" w:right="0" w:firstLine="0"/>
        <w:spacing w:before="240" w:after="240" w:line="82"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    如遇磋商文件及合同未约定事项，双方可友好协商签订补充协议。</w:t>
      </w:r>
      <w:r>
        <w:br w:type="page" w:clear="all"/>
      </w:r>
      <w:r>
        <w:rPr>
          <w:rFonts w:ascii="宋体" w:hAnsi="宋体" w:cs="宋体"/>
          <w:sz w:val="24"/>
        </w:rPr>
      </w:r>
      <w:r/>
    </w:p>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第四章  采购需求</w:t>
      </w:r>
      <w:r>
        <w:rPr>
          <w:rFonts w:ascii="宋体" w:hAnsi="宋体" w:cs="宋体"/>
        </w:rPr>
      </w:r>
      <w:r/>
    </w:p>
    <w:p>
      <w:pPr>
        <w:ind w:left="0" w:right="0" w:firstLine="48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一、项目属性：服务类项目。</w:t>
      </w:r>
      <w:r>
        <w:rPr>
          <w:rFonts w:ascii="宋体" w:hAnsi="宋体" w:cs="宋体"/>
        </w:rPr>
      </w:r>
      <w:r/>
    </w:p>
    <w:p>
      <w:pPr>
        <w:ind w:left="0" w:right="0" w:firstLine="48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 </w:t>
      </w:r>
      <w:r>
        <w:rPr>
          <w:rFonts w:ascii="宋体" w:hAnsi="宋体" w:cs="宋体"/>
        </w:rPr>
      </w:r>
      <w:r/>
    </w:p>
    <w:p>
      <w:pPr>
        <w:ind w:left="0" w:right="0" w:firstLine="48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二、项目概况</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（一）项目介绍</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eastAsia="宋体" w:cs="宋体"/>
          <w:color w:val="000000"/>
          <w:sz w:val="21"/>
        </w:rPr>
        <w:t xml:space="preserve">坐落位置</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1</w:t>
      </w:r>
      <w:r>
        <w:rPr>
          <w:rFonts w:ascii="宋体" w:hAnsi="宋体" w:eastAsia="宋体" w:cs="宋体"/>
          <w:color w:val="000000"/>
          <w:sz w:val="21"/>
        </w:rPr>
        <w:t xml:space="preserve">）高中部校区：鼓楼街</w:t>
      </w:r>
      <w:r>
        <w:rPr>
          <w:rFonts w:ascii="宋体" w:hAnsi="宋体" w:eastAsia="SimSun" w:cs="宋体"/>
          <w:color w:val="000000"/>
          <w:sz w:val="21"/>
        </w:rPr>
        <w:t xml:space="preserve">83</w:t>
      </w:r>
      <w:r>
        <w:rPr>
          <w:rFonts w:ascii="宋体" w:hAnsi="宋体" w:eastAsia="宋体" w:cs="宋体"/>
          <w:color w:val="000000"/>
          <w:sz w:val="21"/>
        </w:rPr>
        <w:t xml:space="preserve">号；</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2</w:t>
      </w:r>
      <w:r>
        <w:rPr>
          <w:rFonts w:ascii="宋体" w:hAnsi="宋体" w:eastAsia="宋体" w:cs="宋体"/>
          <w:color w:val="000000"/>
          <w:sz w:val="21"/>
        </w:rPr>
        <w:t xml:space="preserve">）初中部校区：青岛路</w:t>
      </w:r>
      <w:r>
        <w:rPr>
          <w:rFonts w:ascii="宋体" w:hAnsi="宋体" w:eastAsia="SimSun" w:cs="宋体"/>
          <w:color w:val="000000"/>
          <w:sz w:val="21"/>
        </w:rPr>
        <w:t xml:space="preserve">32</w:t>
      </w:r>
      <w:r>
        <w:rPr>
          <w:rFonts w:ascii="宋体" w:hAnsi="宋体" w:eastAsia="宋体" w:cs="宋体"/>
          <w:color w:val="000000"/>
          <w:sz w:val="21"/>
        </w:rPr>
        <w:t xml:space="preserve">号；</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3</w:t>
      </w:r>
      <w:r>
        <w:rPr>
          <w:rFonts w:ascii="宋体" w:hAnsi="宋体" w:eastAsia="宋体" w:cs="宋体"/>
          <w:color w:val="000000"/>
          <w:sz w:val="21"/>
        </w:rPr>
        <w:t xml:space="preserve">）国际高中部校区：傅佐路</w:t>
      </w:r>
      <w:r>
        <w:rPr>
          <w:rFonts w:ascii="宋体" w:hAnsi="宋体" w:eastAsia="SimSun" w:cs="宋体"/>
          <w:color w:val="000000"/>
          <w:sz w:val="21"/>
        </w:rPr>
        <w:t xml:space="preserve">19</w:t>
      </w:r>
      <w:r>
        <w:rPr>
          <w:rFonts w:ascii="宋体" w:hAnsi="宋体" w:eastAsia="宋体" w:cs="宋体"/>
          <w:color w:val="000000"/>
          <w:sz w:val="21"/>
        </w:rPr>
        <w:t xml:space="preserve">号。</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w:t>
      </w:r>
      <w:r>
        <w:rPr>
          <w:rFonts w:ascii="宋体" w:hAnsi="宋体" w:eastAsia="宋体" w:cs="宋体"/>
          <w:color w:val="000000"/>
          <w:sz w:val="21"/>
        </w:rPr>
        <w:t xml:space="preserve">使用面积</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1</w:t>
      </w:r>
      <w:r>
        <w:rPr>
          <w:rFonts w:ascii="宋体" w:hAnsi="宋体" w:eastAsia="宋体" w:cs="宋体"/>
          <w:color w:val="000000"/>
          <w:sz w:val="21"/>
        </w:rPr>
        <w:t xml:space="preserve">）高中部校区：占地面积</w:t>
      </w:r>
      <w:r>
        <w:rPr>
          <w:rFonts w:ascii="宋体" w:hAnsi="宋体" w:eastAsia="SimSun" w:cs="宋体"/>
          <w:color w:val="000000"/>
          <w:sz w:val="21"/>
        </w:rPr>
        <w:t xml:space="preserve">16891.8</w:t>
      </w:r>
      <w:r>
        <w:rPr>
          <w:rFonts w:ascii="宋体" w:hAnsi="宋体" w:eastAsia="宋体" w:cs="宋体"/>
          <w:color w:val="000000"/>
          <w:sz w:val="21"/>
        </w:rPr>
        <w:t xml:space="preserve">平方米，建筑面积</w:t>
      </w:r>
      <w:r>
        <w:rPr>
          <w:rFonts w:ascii="宋体" w:hAnsi="宋体" w:eastAsia="SimSun" w:cs="宋体"/>
          <w:color w:val="000000"/>
          <w:sz w:val="21"/>
        </w:rPr>
        <w:t xml:space="preserve">13783.7</w:t>
      </w:r>
      <w:r>
        <w:rPr>
          <w:rFonts w:ascii="宋体" w:hAnsi="宋体" w:eastAsia="宋体" w:cs="宋体"/>
          <w:color w:val="000000"/>
          <w:sz w:val="21"/>
        </w:rPr>
        <w:t xml:space="preserve">平方米；</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2</w:t>
      </w:r>
      <w:r>
        <w:rPr>
          <w:rFonts w:ascii="宋体" w:hAnsi="宋体" w:eastAsia="宋体" w:cs="宋体"/>
          <w:color w:val="000000"/>
          <w:sz w:val="21"/>
        </w:rPr>
        <w:t xml:space="preserve">）初中部校区：占地面积</w:t>
      </w:r>
      <w:r>
        <w:rPr>
          <w:rFonts w:ascii="宋体" w:hAnsi="宋体" w:eastAsia="SimSun" w:cs="宋体"/>
          <w:color w:val="000000"/>
          <w:sz w:val="21"/>
        </w:rPr>
        <w:t xml:space="preserve">3746,9</w:t>
      </w:r>
      <w:r>
        <w:rPr>
          <w:rFonts w:ascii="宋体" w:hAnsi="宋体" w:eastAsia="宋体" w:cs="宋体"/>
          <w:color w:val="000000"/>
          <w:sz w:val="21"/>
        </w:rPr>
        <w:t xml:space="preserve">平方米，建筑面积</w:t>
      </w:r>
      <w:r>
        <w:rPr>
          <w:rFonts w:ascii="宋体" w:hAnsi="宋体" w:eastAsia="SimSun" w:cs="宋体"/>
          <w:color w:val="000000"/>
          <w:sz w:val="21"/>
        </w:rPr>
        <w:t xml:space="preserve">6498.2</w:t>
      </w:r>
      <w:r>
        <w:rPr>
          <w:rFonts w:ascii="宋体" w:hAnsi="宋体" w:eastAsia="宋体" w:cs="宋体"/>
          <w:color w:val="000000"/>
          <w:sz w:val="21"/>
        </w:rPr>
        <w:t xml:space="preserve">平方米；</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3</w:t>
      </w:r>
      <w:r>
        <w:rPr>
          <w:rFonts w:ascii="宋体" w:hAnsi="宋体" w:eastAsia="宋体" w:cs="宋体"/>
          <w:color w:val="000000"/>
          <w:sz w:val="21"/>
        </w:rPr>
        <w:t xml:space="preserve">）国际高中部校区：建筑面积</w:t>
      </w:r>
      <w:r>
        <w:rPr>
          <w:rFonts w:ascii="宋体" w:hAnsi="宋体" w:eastAsia="SimSun" w:cs="宋体"/>
          <w:color w:val="000000"/>
          <w:sz w:val="21"/>
        </w:rPr>
        <w:t xml:space="preserve">8118</w:t>
      </w:r>
      <w:r>
        <w:rPr>
          <w:rFonts w:ascii="宋体" w:hAnsi="宋体" w:eastAsia="宋体" w:cs="宋体"/>
          <w:color w:val="000000"/>
          <w:sz w:val="21"/>
        </w:rPr>
        <w:t xml:space="preserve">平方米，占地面积</w:t>
      </w:r>
      <w:r>
        <w:rPr>
          <w:rFonts w:ascii="宋体" w:hAnsi="宋体" w:eastAsia="SimSun" w:cs="宋体"/>
          <w:color w:val="000000"/>
          <w:sz w:val="21"/>
        </w:rPr>
        <w:t xml:space="preserve">3288</w:t>
      </w:r>
      <w:r>
        <w:rPr>
          <w:rFonts w:ascii="宋体" w:hAnsi="宋体" w:eastAsia="宋体" w:cs="宋体"/>
          <w:color w:val="000000"/>
          <w:sz w:val="21"/>
        </w:rPr>
        <w:t xml:space="preserve">平方米。</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3.</w:t>
      </w:r>
      <w:r>
        <w:rPr>
          <w:rFonts w:ascii="宋体" w:hAnsi="宋体" w:eastAsia="宋体" w:cs="宋体"/>
          <w:color w:val="000000"/>
          <w:sz w:val="21"/>
        </w:rPr>
        <w:t xml:space="preserve">配套设施</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1</w:t>
      </w:r>
      <w:r>
        <w:rPr>
          <w:rFonts w:ascii="宋体" w:hAnsi="宋体" w:eastAsia="宋体" w:cs="宋体"/>
          <w:color w:val="000000"/>
          <w:sz w:val="21"/>
        </w:rPr>
        <w:t xml:space="preserve">）高中部校区</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弘达楼：实验楼一栋</w:t>
      </w:r>
      <w:r>
        <w:rPr>
          <w:rFonts w:ascii="宋体" w:hAnsi="宋体" w:eastAsia="SimSun" w:cs="宋体"/>
          <w:color w:val="000000"/>
          <w:sz w:val="21"/>
        </w:rPr>
        <w:t xml:space="preserve">6</w:t>
      </w:r>
      <w:r>
        <w:rPr>
          <w:rFonts w:ascii="宋体" w:hAnsi="宋体" w:eastAsia="宋体" w:cs="宋体"/>
          <w:color w:val="000000"/>
          <w:sz w:val="21"/>
        </w:rPr>
        <w:t xml:space="preserve">层（化学实验室、物理实验室、大型报告厅，劳技室、音乐室、学生舞蹈排练室，室内乒乓球室、计算机室等）；</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弘盛楼：办公楼一栋</w:t>
      </w:r>
      <w:r>
        <w:rPr>
          <w:rFonts w:ascii="宋体" w:hAnsi="宋体" w:eastAsia="SimSun" w:cs="宋体"/>
          <w:color w:val="000000"/>
          <w:sz w:val="21"/>
        </w:rPr>
        <w:t xml:space="preserve">5</w:t>
      </w:r>
      <w:r>
        <w:rPr>
          <w:rFonts w:ascii="宋体" w:hAnsi="宋体" w:eastAsia="宋体" w:cs="宋体"/>
          <w:color w:val="000000"/>
          <w:sz w:val="21"/>
        </w:rPr>
        <w:t xml:space="preserve">层（内有小报告厅</w:t>
      </w:r>
      <w:r>
        <w:rPr>
          <w:rFonts w:ascii="宋体" w:hAnsi="宋体" w:eastAsia="SimSun" w:cs="宋体"/>
          <w:color w:val="000000"/>
          <w:sz w:val="21"/>
        </w:rPr>
        <w:t xml:space="preserve">1</w:t>
      </w:r>
      <w:r>
        <w:rPr>
          <w:rFonts w:ascii="宋体" w:hAnsi="宋体" w:eastAsia="宋体" w:cs="宋体"/>
          <w:color w:val="000000"/>
          <w:sz w:val="21"/>
        </w:rPr>
        <w:t xml:space="preserve">个、会议室</w:t>
      </w:r>
      <w:r>
        <w:rPr>
          <w:rFonts w:ascii="宋体" w:hAnsi="宋体" w:eastAsia="SimSun" w:cs="宋体"/>
          <w:color w:val="000000"/>
          <w:sz w:val="21"/>
        </w:rPr>
        <w:t xml:space="preserve">5</w:t>
      </w:r>
      <w:r>
        <w:rPr>
          <w:rFonts w:ascii="宋体" w:hAnsi="宋体" w:eastAsia="宋体" w:cs="宋体"/>
          <w:color w:val="000000"/>
          <w:sz w:val="21"/>
        </w:rPr>
        <w:t xml:space="preserve">个、各科室办公室多个，禁毒参观室、校史馆、档案室，学校仓库、团委活动室等）；</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弘毅楼：教学楼一栋</w:t>
      </w:r>
      <w:r>
        <w:rPr>
          <w:rFonts w:ascii="宋体" w:hAnsi="宋体" w:eastAsia="SimSun" w:cs="宋体"/>
          <w:color w:val="000000"/>
          <w:sz w:val="21"/>
        </w:rPr>
        <w:t xml:space="preserve">5</w:t>
      </w:r>
      <w:r>
        <w:rPr>
          <w:rFonts w:ascii="宋体" w:hAnsi="宋体" w:eastAsia="宋体" w:cs="宋体"/>
          <w:color w:val="000000"/>
          <w:sz w:val="21"/>
        </w:rPr>
        <w:t xml:space="preserve">层分为南北楼各五层（内有教室</w:t>
      </w:r>
      <w:r>
        <w:rPr>
          <w:rFonts w:ascii="宋体" w:hAnsi="宋体" w:eastAsia="SimSun" w:cs="宋体"/>
          <w:color w:val="000000"/>
          <w:sz w:val="21"/>
        </w:rPr>
        <w:t xml:space="preserve">30</w:t>
      </w:r>
      <w:r>
        <w:rPr>
          <w:rFonts w:ascii="宋体" w:hAnsi="宋体" w:eastAsia="宋体" w:cs="宋体"/>
          <w:color w:val="000000"/>
          <w:sz w:val="21"/>
        </w:rPr>
        <w:t xml:space="preserve">个、圆厅会议室一个、阶梯教室一个、图书馆、办公室、录播室、楹联室、监控室、广播室等）；</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弘远楼：国际部一栋</w:t>
      </w:r>
      <w:r>
        <w:rPr>
          <w:rFonts w:ascii="宋体" w:hAnsi="宋体" w:eastAsia="SimSun" w:cs="宋体"/>
          <w:color w:val="000000"/>
          <w:sz w:val="21"/>
        </w:rPr>
        <w:t xml:space="preserve">4</w:t>
      </w:r>
      <w:r>
        <w:rPr>
          <w:rFonts w:ascii="宋体" w:hAnsi="宋体" w:eastAsia="宋体" w:cs="宋体"/>
          <w:color w:val="000000"/>
          <w:sz w:val="21"/>
        </w:rPr>
        <w:t xml:space="preserve">层（分为高一、高二、高三共</w:t>
      </w:r>
      <w:r>
        <w:rPr>
          <w:rFonts w:ascii="宋体" w:hAnsi="宋体" w:eastAsia="SimSun" w:cs="宋体"/>
          <w:color w:val="000000"/>
          <w:sz w:val="21"/>
        </w:rPr>
        <w:t xml:space="preserve">20</w:t>
      </w:r>
      <w:r>
        <w:rPr>
          <w:rFonts w:ascii="宋体" w:hAnsi="宋体" w:eastAsia="宋体" w:cs="宋体"/>
          <w:color w:val="000000"/>
          <w:sz w:val="21"/>
        </w:rPr>
        <w:t xml:space="preserve">个国际班）；</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宿舍楼：一栋</w:t>
      </w:r>
      <w:r>
        <w:rPr>
          <w:rFonts w:ascii="宋体" w:hAnsi="宋体" w:eastAsia="SimSun" w:cs="宋体"/>
          <w:color w:val="000000"/>
          <w:sz w:val="21"/>
        </w:rPr>
        <w:t xml:space="preserve">5</w:t>
      </w:r>
      <w:r>
        <w:rPr>
          <w:rFonts w:ascii="宋体" w:hAnsi="宋体" w:eastAsia="宋体" w:cs="宋体"/>
          <w:color w:val="000000"/>
          <w:sz w:val="21"/>
        </w:rPr>
        <w:t xml:space="preserve">层，可容纳</w:t>
      </w:r>
      <w:r>
        <w:rPr>
          <w:rFonts w:ascii="宋体" w:hAnsi="宋体" w:eastAsia="SimSun" w:cs="宋体"/>
          <w:color w:val="000000"/>
          <w:sz w:val="21"/>
        </w:rPr>
        <w:t xml:space="preserve">200</w:t>
      </w:r>
      <w:r>
        <w:rPr>
          <w:rFonts w:ascii="宋体" w:hAnsi="宋体" w:eastAsia="宋体" w:cs="宋体"/>
          <w:color w:val="000000"/>
          <w:sz w:val="21"/>
        </w:rPr>
        <w:t xml:space="preserve">学生入住。</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2</w:t>
      </w:r>
      <w:r>
        <w:rPr>
          <w:rFonts w:ascii="宋体" w:hAnsi="宋体" w:eastAsia="宋体" w:cs="宋体"/>
          <w:color w:val="000000"/>
          <w:sz w:val="21"/>
        </w:rPr>
        <w:t xml:space="preserve">）初中部校区</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弘致楼一栋共</w:t>
      </w:r>
      <w:r>
        <w:rPr>
          <w:rFonts w:ascii="宋体" w:hAnsi="宋体" w:eastAsia="SimSun" w:cs="宋体"/>
          <w:color w:val="000000"/>
          <w:sz w:val="21"/>
        </w:rPr>
        <w:t xml:space="preserve">5</w:t>
      </w:r>
      <w:r>
        <w:rPr>
          <w:rFonts w:ascii="宋体" w:hAnsi="宋体" w:eastAsia="宋体" w:cs="宋体"/>
          <w:color w:val="000000"/>
          <w:sz w:val="21"/>
        </w:rPr>
        <w:t xml:space="preserve">层，为南大附中独立初中部教学所用，内有教室</w:t>
      </w:r>
      <w:r>
        <w:rPr>
          <w:rFonts w:ascii="宋体" w:hAnsi="宋体" w:eastAsia="SimSun" w:cs="宋体"/>
          <w:color w:val="000000"/>
          <w:sz w:val="21"/>
        </w:rPr>
        <w:t xml:space="preserve">20</w:t>
      </w:r>
      <w:r>
        <w:rPr>
          <w:rFonts w:ascii="宋体" w:hAnsi="宋体" w:eastAsia="宋体" w:cs="宋体"/>
          <w:color w:val="000000"/>
          <w:sz w:val="21"/>
        </w:rPr>
        <w:t xml:space="preserve">个，各功能室多个。</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w:t>
      </w:r>
      <w:r>
        <w:rPr>
          <w:rFonts w:ascii="宋体" w:hAnsi="宋体" w:eastAsia="SimSun" w:cs="宋体"/>
          <w:color w:val="000000"/>
          <w:sz w:val="21"/>
        </w:rPr>
        <w:t xml:space="preserve">3</w:t>
      </w:r>
      <w:r>
        <w:rPr>
          <w:rFonts w:ascii="宋体" w:hAnsi="宋体" w:eastAsia="宋体" w:cs="宋体"/>
          <w:color w:val="000000"/>
          <w:sz w:val="21"/>
        </w:rPr>
        <w:t xml:space="preserve">）国际高中部校区</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教学楼：一栋，共三层，内有教室</w:t>
      </w:r>
      <w:r>
        <w:rPr>
          <w:rFonts w:ascii="宋体" w:hAnsi="宋体" w:eastAsia="SimSun" w:cs="宋体"/>
          <w:color w:val="000000"/>
          <w:sz w:val="21"/>
        </w:rPr>
        <w:t xml:space="preserve">15</w:t>
      </w:r>
      <w:r>
        <w:rPr>
          <w:rFonts w:ascii="宋体" w:hAnsi="宋体" w:eastAsia="宋体" w:cs="宋体"/>
          <w:color w:val="000000"/>
          <w:sz w:val="21"/>
        </w:rPr>
        <w:t xml:space="preserve">间，办公室</w:t>
      </w:r>
      <w:r>
        <w:rPr>
          <w:rFonts w:ascii="宋体" w:hAnsi="宋体" w:eastAsia="SimSun" w:cs="宋体"/>
          <w:color w:val="000000"/>
          <w:sz w:val="21"/>
        </w:rPr>
        <w:t xml:space="preserve">3</w:t>
      </w:r>
      <w:r>
        <w:rPr>
          <w:rFonts w:ascii="宋体" w:hAnsi="宋体" w:eastAsia="宋体" w:cs="宋体"/>
          <w:color w:val="000000"/>
          <w:sz w:val="21"/>
        </w:rPr>
        <w:t xml:space="preserve">间；</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综合办公楼：一栋，共</w:t>
      </w:r>
      <w:r>
        <w:rPr>
          <w:rFonts w:ascii="宋体" w:hAnsi="宋体" w:eastAsia="SimSun" w:cs="宋体"/>
          <w:color w:val="000000"/>
          <w:sz w:val="21"/>
        </w:rPr>
        <w:t xml:space="preserve">4</w:t>
      </w:r>
      <w:r>
        <w:rPr>
          <w:rFonts w:ascii="宋体" w:hAnsi="宋体" w:eastAsia="宋体" w:cs="宋体"/>
          <w:color w:val="000000"/>
          <w:sz w:val="21"/>
        </w:rPr>
        <w:t xml:space="preserve">层，内有办公室</w:t>
      </w:r>
      <w:r>
        <w:rPr>
          <w:rFonts w:ascii="宋体" w:hAnsi="宋体" w:eastAsia="SimSun" w:cs="宋体"/>
          <w:color w:val="000000"/>
          <w:sz w:val="21"/>
        </w:rPr>
        <w:t xml:space="preserve">8</w:t>
      </w:r>
      <w:r>
        <w:rPr>
          <w:rFonts w:ascii="宋体" w:hAnsi="宋体" w:eastAsia="宋体" w:cs="宋体"/>
          <w:color w:val="000000"/>
          <w:sz w:val="21"/>
        </w:rPr>
        <w:t xml:space="preserve">间，会议室</w:t>
      </w:r>
      <w:r>
        <w:rPr>
          <w:rFonts w:ascii="宋体" w:hAnsi="宋体" w:eastAsia="SimSun" w:cs="宋体"/>
          <w:color w:val="000000"/>
          <w:sz w:val="21"/>
        </w:rPr>
        <w:t xml:space="preserve">2</w:t>
      </w:r>
      <w:r>
        <w:rPr>
          <w:rFonts w:ascii="宋体" w:hAnsi="宋体" w:eastAsia="宋体" w:cs="宋体"/>
          <w:color w:val="000000"/>
          <w:sz w:val="21"/>
        </w:rPr>
        <w:t xml:space="preserve">间，小报告厅</w:t>
      </w:r>
      <w:r>
        <w:rPr>
          <w:rFonts w:ascii="宋体" w:hAnsi="宋体" w:eastAsia="SimSun" w:cs="宋体"/>
          <w:color w:val="000000"/>
          <w:sz w:val="21"/>
        </w:rPr>
        <w:t xml:space="preserve">1</w:t>
      </w:r>
      <w:r>
        <w:rPr>
          <w:rFonts w:ascii="宋体" w:hAnsi="宋体" w:eastAsia="宋体" w:cs="宋体"/>
          <w:color w:val="000000"/>
          <w:sz w:val="21"/>
        </w:rPr>
        <w:t xml:space="preserve">间。</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（二）项目建设遵循标准</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符合国家标准、行业标准、地方标准或者其他标准、规范。</w:t>
      </w:r>
      <w:r>
        <w:rPr>
          <w:rFonts w:ascii="宋体" w:hAnsi="宋体" w:cs="宋体"/>
        </w:rPr>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80" w:right="0" w:firstLine="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三、项目清单</w:t>
      </w:r>
      <w:r>
        <w:rPr>
          <w:rFonts w:ascii="宋体" w:hAnsi="宋体" w:cs="宋体"/>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1923"/>
        <w:gridCol w:w="867"/>
        <w:gridCol w:w="876"/>
        <w:gridCol w:w="2105"/>
        <w:gridCol w:w="1269"/>
        <w:gridCol w:w="1525"/>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序号</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2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名称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数量</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单位</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05"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所属行业类型</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9"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属性</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备注</w:t>
            </w:r>
            <w:r>
              <w:rPr>
                <w:rFonts w:ascii="宋体" w:hAnsi="宋体" w:cs="宋体"/>
              </w:rPr>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安保服务</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项</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05"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租赁和商务服务业</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9"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25"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服务期三年</w:t>
            </w:r>
            <w:r>
              <w:rPr>
                <w:rFonts w:ascii="宋体" w:hAnsi="宋体" w:cs="宋体"/>
              </w:rPr>
            </w:r>
            <w:r/>
          </w:p>
        </w:tc>
      </w:tr>
    </w:tbl>
    <w:p>
      <w:pPr>
        <w:ind w:left="0" w:right="0" w:firstLine="0"/>
        <w:spacing w:before="240" w:after="24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b/>
          <w:color w:val="000000"/>
          <w:sz w:val="21"/>
        </w:rPr>
        <w:t xml:space="preserve"> </w:t>
      </w:r>
      <w:r>
        <w:rPr>
          <w:rFonts w:ascii="宋体" w:hAnsi="宋体" w:cs="宋体"/>
        </w:rPr>
      </w:r>
      <w:r/>
    </w:p>
    <w:p>
      <w:pPr>
        <w:ind w:left="480" w:right="0" w:firstLine="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rPr>
        <w:t xml:space="preserve">四、</w:t>
      </w:r>
      <w:r>
        <w:rPr>
          <w:rFonts w:ascii="宋体" w:hAnsi="宋体" w:eastAsia="宋体" w:cs="宋体"/>
          <w:b/>
          <w:color w:val="000000"/>
          <w:sz w:val="21"/>
        </w:rPr>
        <w:t xml:space="preserve">拟采购标的需要满足的技术、商务要求</w:t>
      </w:r>
      <w:r>
        <w:rPr>
          <w:rFonts w:ascii="宋体" w:hAnsi="宋体" w:cs="宋体"/>
        </w:rPr>
      </w:r>
      <w:r/>
    </w:p>
    <w:p>
      <w:pPr>
        <w:ind w:left="0" w:right="0" w:firstLine="48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w:t>
      </w:r>
      <w:r>
        <w:rPr>
          <w:rFonts w:ascii="宋体" w:hAnsi="宋体" w:eastAsia="宋体" w:cs="宋体"/>
          <w:b/>
          <w:color w:val="000000"/>
          <w:sz w:val="21"/>
        </w:rPr>
        <w:t xml:space="preserve">（一）技术要求</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eastAsia="宋体" w:cs="宋体"/>
          <w:color w:val="000000"/>
          <w:sz w:val="21"/>
        </w:rPr>
        <w:t xml:space="preserve">服务要求</w:t>
      </w:r>
      <w:r>
        <w:rPr>
          <w:rFonts w:ascii="宋体" w:hAnsi="宋体" w:cs="宋体"/>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1.保安服务</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安保管理制度健全。节假日、寒暑假、夜间校区出入口实行门卫值班制，校区内实行夜间不间断巡逻，监控室夜间安排人员实时监控，安全防范实行人防、机防、技防相结合，监控巡视、值班相配合，确保无漏岗、脱岗、睡岗、饮酒上岗等失职现象；</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安全护卫人员有明显标志，作业规范，反应机敏，熟悉环境，处理异常情况及时、正确，文明执勤；熟练使用安保监控和一键报警电话。</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做好学校、学生公寓来访人员的进出门登记，拒绝无关人员进入校园或学生公寓；不定期巡查楼层，及时消除安全隐患，发现可能存在的安全隐患（宿舍内设施、消防器材等），应及时上报；</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危及采购人使用安全处设置明显标志和切实的安全防范措施；</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有针对性地提供突发事件的安全保卫工作服务，措施得力，制度健全，人员到位；</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重大火灾、刑事案件或交通事故响应处理及时率100%；</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道路通畅、路面、路牙及相关设施完整，标识完好；</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停车场管理制度完善，人员配备合理，机动车辆、非机动车分区停放有序、安全可靠，无乱停乱放和阻塞现象，有外来车辆出入登记；</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出入口和道路无堵塞现象；</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物资进出，邮件接收、分发安全有序。</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1.11按照国家相关规定，完成消控室相关工作。 </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2.宿舍管理服务</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2.1宿舍内的卫生工作首先安排学生自行打扫，宿管员有保洁的责任，其他公共区域的卫生均由宿管员来完成。</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学生宿舍公共区域保洁要求：每天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2.3认真做好每日公寓内安全巡视工作和学生的常规管理。</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2.4积极营造公寓文化氛围，努力为学生创建一个和谐、文明、温馨的家园。</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2.5处理本公寓日常发生的各种问题。</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2.6及时处理学生及学生家长的投诉。</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2.7认真接待学校上级部门及校方安排人员的参观考察。</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2.8认真完成学校交代的其它工作。</w:t>
            </w:r>
            <w:r/>
          </w:p>
        </w:tc>
      </w:tr>
    </w:tbl>
    <w:p>
      <w:pPr>
        <w:ind w:left="482" w:right="0" w:firstLine="422"/>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2.</w:t>
      </w:r>
      <w:r>
        <w:rPr>
          <w:rFonts w:ascii="宋体" w:hAnsi="宋体" w:eastAsia="宋体" w:cs="宋体"/>
          <w:b/>
          <w:color w:val="000000"/>
          <w:sz w:val="21"/>
        </w:rPr>
        <w:t xml:space="preserve">人员配置要求</w:t>
      </w:r>
      <w:r>
        <w:rPr>
          <w:rFonts w:ascii="宋体" w:hAnsi="宋体" w:cs="宋体"/>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907"/>
        <w:gridCol w:w="1403"/>
        <w:gridCol w:w="1057"/>
        <w:gridCol w:w="4345"/>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序号</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0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服务校区</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岗位</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人数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45"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要求</w:t>
            </w:r>
            <w:r>
              <w:rPr>
                <w:rFonts w:ascii="宋体" w:hAnsi="宋体" w:cs="宋体"/>
              </w:rPr>
            </w:r>
            <w:r/>
          </w:p>
        </w:tc>
      </w:tr>
      <w:tr>
        <w:trPr>
          <w:trHeight w:val="5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07" w:type="dxa"/>
            <w:vAlign w:val="center"/>
            <w:vMerge w:val="restart"/>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南京大学附属中学（高中部）</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保安</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6</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45" w:type="dxa"/>
            <w:vAlign w:val="center"/>
            <w:textDirection w:val="lrTb"/>
            <w:noWrap w:val="false"/>
          </w:tcPr>
          <w:p>
            <w:pPr>
              <w:ind w:left="0" w:right="0" w:firstLine="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高中及以上学历，身体健康，</w:t>
            </w:r>
            <w:r>
              <w:rPr>
                <w:rFonts w:ascii="宋体" w:hAnsi="宋体" w:eastAsia="SimSun" w:cs="宋体"/>
                <w:color w:val="000000"/>
                <w:sz w:val="21"/>
              </w:rPr>
              <w:t xml:space="preserve">1.70</w:t>
            </w:r>
            <w:r>
              <w:rPr>
                <w:rFonts w:ascii="宋体" w:hAnsi="宋体" w:eastAsia="宋体" w:cs="宋体"/>
                <w:color w:val="000000"/>
                <w:sz w:val="21"/>
              </w:rPr>
              <w:t xml:space="preserve">米及以上，男性，接受过安保培训，有保安上岗证。年龄在法定退休年龄以下</w:t>
            </w:r>
            <w:r>
              <w:rPr>
                <w:rFonts w:ascii="宋体" w:hAnsi="宋体" w:eastAsia="宋体" w:cs="宋体"/>
                <w:color w:val="000000"/>
                <w:sz w:val="21"/>
              </w:rPr>
              <w:t xml:space="preserve">。</w:t>
            </w:r>
            <w:r>
              <w:rPr>
                <w:rFonts w:ascii="宋体" w:hAnsi="宋体" w:eastAsia="宋体" w:cs="宋体"/>
                <w:color w:val="000000"/>
                <w:sz w:val="21"/>
              </w:rPr>
              <w:t xml:space="preserve">五官端正，无不良记录，不光头无伤疤，无纹身，具备一定的语言表达能力和沟通能力。负责校园内公共秩序，能承担校内物品的转移搬运工作。</w:t>
            </w:r>
            <w:r>
              <w:rPr>
                <w:rFonts w:ascii="宋体" w:hAnsi="宋体" w:cs="宋体"/>
              </w:rPr>
            </w:r>
            <w:r/>
          </w:p>
        </w:tc>
      </w:tr>
      <w:tr>
        <w:trPr>
          <w:trHeight w:val="5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w:t>
            </w:r>
            <w:r>
              <w:rPr>
                <w:rFonts w:ascii="宋体" w:hAnsi="宋体" w:cs="宋体"/>
              </w:rPr>
            </w:r>
            <w:r/>
          </w:p>
        </w:tc>
        <w:tc>
          <w:tcPr>
            <w:tcBorders>
              <w:top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宿舍领班</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45" w:type="dxa"/>
            <w:vAlign w:val="center"/>
            <w:vMerge w:val="restart"/>
            <w:textDirection w:val="lrTb"/>
            <w:noWrap w:val="false"/>
          </w:tcPr>
          <w:p>
            <w:pPr>
              <w:ind w:left="0" w:right="0" w:firstLine="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高中及以上学历，年龄在法定退休年龄以下，年龄不符合要求的人员，经采购人面试合格后方可上岗。五官端正，具有宿舍管理经验，身体健康，五官端正，无不良行为记录，服从管理。</w:t>
            </w:r>
            <w:r>
              <w:rPr>
                <w:rFonts w:ascii="宋体" w:hAnsi="宋体" w:cs="宋体"/>
              </w:rPr>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3</w:t>
            </w:r>
            <w:r>
              <w:rPr>
                <w:rFonts w:ascii="宋体" w:hAnsi="宋体" w:cs="宋体"/>
              </w:rPr>
            </w:r>
            <w:r/>
          </w:p>
        </w:tc>
        <w:tc>
          <w:tcPr>
            <w:tcBorders>
              <w:top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宿舍管理员</w:t>
            </w:r>
            <w:r>
              <w:rPr>
                <w:rFonts w:ascii="宋体" w:hAnsi="宋体" w:cs="宋体"/>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5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07" w:type="dxa"/>
            <w:vAlign w:val="center"/>
            <w:vMerge w:val="restart"/>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南京大学附属中学（初中部）</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保安领班</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45" w:type="dxa"/>
            <w:vAlign w:val="center"/>
            <w:vMerge w:val="restart"/>
            <w:textDirection w:val="lrTb"/>
            <w:noWrap w:val="false"/>
          </w:tcPr>
          <w:p>
            <w:pPr>
              <w:ind w:left="0" w:right="0" w:firstLine="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高中及以上学历，身体健康，</w:t>
            </w:r>
            <w:r>
              <w:rPr>
                <w:rFonts w:ascii="宋体" w:hAnsi="宋体" w:eastAsia="SimSun" w:cs="宋体"/>
                <w:color w:val="000000"/>
                <w:sz w:val="21"/>
              </w:rPr>
              <w:t xml:space="preserve">1.70</w:t>
            </w:r>
            <w:r>
              <w:rPr>
                <w:rFonts w:ascii="宋体" w:hAnsi="宋体" w:eastAsia="宋体" w:cs="宋体"/>
                <w:color w:val="000000"/>
                <w:sz w:val="21"/>
              </w:rPr>
              <w:t xml:space="preserve">米及以上，男性，接受过安保培训，有保安上岗证。年龄在法定退休年龄以下</w:t>
            </w:r>
            <w:r>
              <w:rPr>
                <w:rFonts w:ascii="宋体" w:hAnsi="宋体" w:eastAsia="宋体" w:cs="宋体"/>
                <w:color w:val="000000"/>
                <w:sz w:val="21"/>
              </w:rPr>
              <w:t xml:space="preserve">。</w:t>
            </w:r>
            <w:r>
              <w:rPr>
                <w:rFonts w:ascii="宋体" w:hAnsi="宋体" w:eastAsia="宋体" w:cs="宋体"/>
                <w:color w:val="000000"/>
                <w:sz w:val="21"/>
              </w:rPr>
              <w:t xml:space="preserve">五官端正，无不良记录，不光头无伤疤，无纹身，具备一定的语言表达能力和沟通能力。负责校园内公共秩序，能承担校内物品的转移搬运工作。</w:t>
            </w:r>
            <w:r>
              <w:rPr>
                <w:rFonts w:ascii="宋体" w:hAnsi="宋体" w:cs="宋体"/>
              </w:rPr>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5</w:t>
            </w:r>
            <w:r>
              <w:rPr>
                <w:rFonts w:ascii="宋体" w:hAnsi="宋体" w:cs="宋体"/>
              </w:rPr>
            </w:r>
            <w:r/>
          </w:p>
        </w:tc>
        <w:tc>
          <w:tcPr>
            <w:tcBorders>
              <w:top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保安</w:t>
            </w:r>
            <w:r>
              <w:rPr>
                <w:rFonts w:ascii="宋体" w:hAnsi="宋体" w:cs="宋体"/>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5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6</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0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南京大学附属中学（国际高中部）</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保安</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45" w:type="dxa"/>
            <w:vAlign w:val="center"/>
            <w:textDirection w:val="lrTb"/>
            <w:noWrap w:val="false"/>
          </w:tcPr>
          <w:p>
            <w:pPr>
              <w:ind w:left="0" w:right="0" w:firstLine="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高中及以上学历，身体健康，</w:t>
            </w:r>
            <w:r>
              <w:rPr>
                <w:rFonts w:ascii="宋体" w:hAnsi="宋体" w:eastAsia="SimSun" w:cs="宋体"/>
                <w:color w:val="000000"/>
                <w:sz w:val="21"/>
              </w:rPr>
              <w:t xml:space="preserve">1.70</w:t>
            </w:r>
            <w:r>
              <w:rPr>
                <w:rFonts w:ascii="宋体" w:hAnsi="宋体" w:eastAsia="宋体" w:cs="宋体"/>
                <w:color w:val="000000"/>
                <w:sz w:val="21"/>
              </w:rPr>
              <w:t xml:space="preserve">米及以上，男性，接受过安保培训，有保安上岗证。年龄在法定退休年龄以下</w:t>
            </w:r>
            <w:r>
              <w:rPr>
                <w:rFonts w:ascii="宋体" w:hAnsi="宋体" w:eastAsia="宋体" w:cs="宋体"/>
                <w:color w:val="000000"/>
                <w:sz w:val="21"/>
              </w:rPr>
              <w:t xml:space="preserve">。</w:t>
            </w:r>
            <w:r>
              <w:rPr>
                <w:rFonts w:ascii="宋体" w:hAnsi="宋体" w:eastAsia="宋体" w:cs="宋体"/>
                <w:color w:val="000000"/>
                <w:sz w:val="21"/>
              </w:rPr>
              <w:t xml:space="preserve">五官端正，无不良记录，不光头无伤疤，无纹身，具备一定的语言表达能力和沟通能力。负责校园内公共秩序，能承担校内物品的转移搬运工作。</w:t>
            </w:r>
            <w:r>
              <w:rPr>
                <w:rFonts w:ascii="宋体" w:hAnsi="宋体" w:cs="宋体"/>
              </w:rPr>
            </w:r>
            <w:r/>
          </w:p>
        </w:tc>
      </w:tr>
      <w:tr>
        <w:trPr>
          <w:trHeight w:val="597"/>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50"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合计</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1"/>
              </w:rPr>
              <w:t xml:space="preserve">20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45" w:type="dxa"/>
            <w:vAlign w:val="center"/>
            <w:textDirection w:val="lrTb"/>
            <w:noWrap w:val="false"/>
          </w:tcPr>
          <w:p>
            <w:pPr>
              <w:ind w:left="0" w:right="0" w:firstLine="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采购人不接受低于</w:t>
            </w:r>
            <w:r>
              <w:rPr>
                <w:rFonts w:ascii="宋体" w:hAnsi="宋体" w:eastAsia="SimSun" w:cs="宋体"/>
                <w:color w:val="000000"/>
                <w:sz w:val="21"/>
              </w:rPr>
              <w:t xml:space="preserve">20</w:t>
            </w:r>
            <w:r>
              <w:rPr>
                <w:rFonts w:ascii="宋体" w:hAnsi="宋体" w:eastAsia="宋体" w:cs="宋体"/>
                <w:color w:val="000000"/>
                <w:sz w:val="21"/>
              </w:rPr>
              <w:t xml:space="preserve">人的项目服务。</w:t>
            </w:r>
            <w:r>
              <w:rPr>
                <w:rFonts w:ascii="宋体" w:hAnsi="宋体" w:cs="宋体"/>
              </w:rPr>
            </w:r>
            <w:r/>
          </w:p>
        </w:tc>
      </w:tr>
      <w:tr>
        <w:trPr>
          <w:trHeight w:val="597"/>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1" w:type="dxa"/>
            <w:vAlign w:val="center"/>
            <w:textDirection w:val="lrTb"/>
            <w:noWrap w:val="false"/>
          </w:tcPr>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备注：1.以上所有人员资质要求的证书、证明材料在签订合同时提供复印件并加盖公章；</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2.以上所有人员入职须经采购人确认认可，签订合同时须向采购人提交所有人员清单、身份证复印件、劳动合同复印件；人员上岗前必须提供合格的体检报告。</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3.供应商必须与投入本项目的所有人员签订全日制劳动合同，按照国家及省市相关规定缴纳职工养老金保险、医疗统筹保险、失业保险、工伤保险、生育保险及住房公积金。</w:t>
            </w:r>
            <w:r>
              <w:rPr>
                <w:rFonts w:ascii="宋体" w:hAnsi="宋体" w:cs="宋体"/>
              </w:rPr>
            </w:r>
            <w:r/>
          </w:p>
          <w:p>
            <w:pPr>
              <w:ind w:left="0" w:right="0" w:firstLine="420"/>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rPr>
              <w:t xml:space="preserve">4.供应商须在合同签订之日起15天内完成安保服务人员的上岗培训。 </w:t>
            </w:r>
            <w:r>
              <w:rPr>
                <w:rFonts w:ascii="宋体" w:hAnsi="宋体" w:cs="宋体"/>
              </w:rPr>
            </w:r>
            <w:r/>
          </w:p>
        </w:tc>
      </w:tr>
    </w:tbl>
    <w:p>
      <w:pPr>
        <w:ind w:left="482" w:right="0" w:firstLine="422"/>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3.</w:t>
      </w:r>
      <w:r>
        <w:rPr>
          <w:rFonts w:ascii="宋体" w:hAnsi="宋体" w:eastAsia="宋体" w:cs="宋体"/>
          <w:b/>
          <w:color w:val="000000"/>
          <w:sz w:val="21"/>
        </w:rPr>
        <w:t xml:space="preserve">项目实施要求</w:t>
      </w:r>
      <w:r>
        <w:rPr>
          <w:rFonts w:ascii="宋体" w:hAnsi="宋体" w:cs="宋体"/>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一、总体要求</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须统一着装上岗，并佩戴胸牌和禁烟牌，100%经过岗前培训合格才上岗。</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3.供应商不得利用服务区域内的采购人房产、物业、水电等资源从事经营活动，不能改变其使用性质。</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5.供应商所用全体工作人员的岗位职责、操作规范、人身安全、医疗、工资、各项保险、劳动工具、劳保用品、内部管理、各类纠纷等各项事宜及所涉及经费均由供应商自行负责，采购人概不负责。 </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二、日常管理</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1.区教育局、区公安分局等相关部门及学校依据相关法律法规文件要求，对保安服务公司及保安人员进行日常监督管理，公司及保安应服从管理，不断提升服务水平； </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2.公司调换安保人员须征得学校同意，学校提出换人要求的，公司应在1周内换人； </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3.公司每周至少检查指导1次安保人员履职情况； </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三、其他要求</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1.供应商不得利用服务区域内的采购人房产、安保服务、水电等资源从事其他经营或非法活动，不能改变其服务性质。</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投入本项目管理及服务人员具备国家规定的相关职业资格要求，成交后向采购人提供针对此服务项目的有效的项目负责人及用工人员身份证、相关岗位的上岗证等材料(供应商负责相关费用)，若需更换项目负责人或其他用工人员，须经采购人许可。</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合同签订后一个月内将所有人员按照响应文件和学校要求配置到位，并将员工名单造册后送给采购人审核。如无法配置到位，则视为供应商无法完成服务，采购人可要求供应商退场并支付合同金额20%的违约金。如后期人员有所变动须经过采购人同意，未经采购人允许，擅自更换项目管理人员或更换员工超3%，则视为供应商恶意违约，采购人有权无责解除合同并要求供应商支付合同金额20%的违约金。</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4.如采购人有临时任务，供应商应配合采购人做好相关工作。</w:t>
            </w:r>
            <w:r/>
          </w:p>
        </w:tc>
      </w:tr>
    </w:tbl>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4"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1"/>
        </w:rPr>
        <w:t xml:space="preserve">★</w:t>
      </w:r>
      <w:r>
        <w:rPr>
          <w:rFonts w:ascii="宋体" w:hAnsi="宋体" w:eastAsia="宋体" w:cs="宋体"/>
          <w:b/>
          <w:color w:val="000000"/>
          <w:sz w:val="21"/>
        </w:rPr>
        <w:t xml:space="preserve">（二）商务要求</w:t>
      </w:r>
      <w:r>
        <w:rPr>
          <w:rFonts w:ascii="宋体" w:hAnsi="宋体" w:cs="宋体"/>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rFonts w:ascii="SimSun" w:hAnsi="SimSun" w:eastAsia="SimSun" w:cs="SimSun"/>
          <w:color w:val="000000"/>
          <w:sz w:val="21"/>
          <w:szCs w:val="21"/>
        </w:rPr>
        <w:t xml:space="preserve">报价要求</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w:t>
      </w:r>
      <w:r>
        <w:rPr>
          <w:rFonts w:ascii="SimSun" w:hAnsi="SimSun" w:eastAsia="SimSun" w:cs="SimSun"/>
          <w:color w:val="000000"/>
          <w:sz w:val="21"/>
          <w:szCs w:val="21"/>
        </w:rPr>
        <w:t xml:space="preserve">1</w:t>
      </w:r>
      <w:r>
        <w:rPr>
          <w:rFonts w:ascii="SimSun" w:hAnsi="SimSun" w:eastAsia="SimSun" w:cs="SimSun"/>
          <w:color w:val="000000"/>
          <w:sz w:val="21"/>
          <w:szCs w:val="21"/>
        </w:rPr>
        <w:t xml:space="preserve">）报价应包含与本次服务项目有关的所有费用。包含但不限于：</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①员工工资：根据省级人社部门现行文件，报价中的员工月最低工资不得低于南京市最低标准，供应商须在《报价明细表》中按照采购需求中安保服务人员岗位分别填报员工工资，否则做无效响应处理。</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根据省级人社部门文件规定，最低工资不包含劳动者按下限缴存的住房公积金，由用人单位按规定另行支付，供应商须测算在公积金报价中，否则按照无效响应处理。</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供应商为投入本项目服务人员缴纳社保和公积金的人数不得低于</w:t>
      </w:r>
      <w:r>
        <w:rPr>
          <w:rFonts w:ascii="SimSun" w:hAnsi="SimSun" w:eastAsia="SimSun" w:cs="SimSun"/>
          <w:color w:val="000000"/>
          <w:sz w:val="21"/>
          <w:szCs w:val="21"/>
        </w:rPr>
        <w:t xml:space="preserve">20</w:t>
      </w:r>
      <w:r>
        <w:rPr>
          <w:rFonts w:ascii="SimSun" w:hAnsi="SimSun" w:eastAsia="SimSun" w:cs="SimSun"/>
          <w:color w:val="000000"/>
          <w:sz w:val="21"/>
          <w:szCs w:val="21"/>
        </w:rPr>
        <w:t xml:space="preserve">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本项目安保管理服务法定节假日在岗人数不少于</w:t>
      </w:r>
      <w:r>
        <w:rPr>
          <w:rFonts w:ascii="SimSun" w:hAnsi="SimSun" w:eastAsia="SimSun" w:cs="SimSun"/>
          <w:color w:val="000000"/>
          <w:sz w:val="21"/>
          <w:szCs w:val="21"/>
        </w:rPr>
        <w:t xml:space="preserve">10</w:t>
      </w:r>
      <w:r>
        <w:rPr>
          <w:rFonts w:ascii="SimSun" w:hAnsi="SimSun" w:eastAsia="SimSun" w:cs="SimSun"/>
          <w:color w:val="000000"/>
          <w:sz w:val="21"/>
          <w:szCs w:val="21"/>
        </w:rPr>
        <w:t xml:space="preserve">人、周末（双休日）在岗人数不少于</w:t>
      </w:r>
      <w:r>
        <w:rPr>
          <w:rFonts w:ascii="SimSun" w:hAnsi="SimSun" w:eastAsia="SimSun" w:cs="SimSun"/>
          <w:color w:val="000000"/>
          <w:sz w:val="21"/>
          <w:szCs w:val="21"/>
        </w:rPr>
        <w:t xml:space="preserve">6</w:t>
      </w:r>
      <w:r>
        <w:rPr>
          <w:rFonts w:ascii="SimSun" w:hAnsi="SimSun" w:eastAsia="SimSun" w:cs="SimSun"/>
          <w:color w:val="000000"/>
          <w:sz w:val="21"/>
          <w:szCs w:val="21"/>
        </w:rPr>
        <w:t xml:space="preserve">人，</w:t>
      </w:r>
      <w:r>
        <w:rPr>
          <w:rFonts w:ascii="SimSun" w:hAnsi="SimSun" w:eastAsia="SimSun" w:cs="SimSun"/>
          <w:color w:val="000000"/>
          <w:sz w:val="21"/>
          <w:szCs w:val="21"/>
        </w:rPr>
        <w:t xml:space="preserve">报价中的法定节假日人员加班费及周末人员加班费不得低于上述要求</w:t>
      </w:r>
      <w:r>
        <w:rPr>
          <w:rFonts w:ascii="SimSun" w:hAnsi="SimSun" w:eastAsia="SimSun" w:cs="SimSun"/>
          <w:color w:val="000000"/>
          <w:sz w:val="21"/>
          <w:szCs w:val="21"/>
        </w:rPr>
        <w:t xml:space="preserve">，</w:t>
      </w:r>
      <w:r>
        <w:rPr>
          <w:rFonts w:ascii="SimSun" w:hAnsi="SimSun" w:eastAsia="SimSun" w:cs="SimSun"/>
          <w:color w:val="000000"/>
          <w:sz w:val="21"/>
          <w:szCs w:val="21"/>
        </w:rPr>
        <w:t xml:space="preserve">并按照本项目合同履行期内的法定节假日天数（</w:t>
      </w:r>
      <w:r>
        <w:rPr>
          <w:rFonts w:ascii="SimSun" w:hAnsi="SimSun" w:eastAsia="SimSun" w:cs="SimSun"/>
          <w:color w:val="000000"/>
          <w:sz w:val="21"/>
          <w:szCs w:val="21"/>
        </w:rPr>
        <w:t xml:space="preserve">13</w:t>
      </w:r>
      <w:r>
        <w:rPr>
          <w:rFonts w:ascii="SimSun" w:hAnsi="SimSun" w:eastAsia="SimSun" w:cs="SimSun"/>
          <w:color w:val="000000"/>
          <w:sz w:val="21"/>
          <w:szCs w:val="21"/>
        </w:rPr>
        <w:t xml:space="preserve">天</w:t>
      </w:r>
      <w:r>
        <w:rPr>
          <w:rFonts w:ascii="SimSun" w:hAnsi="SimSun" w:eastAsia="SimSun" w:cs="SimSun"/>
          <w:color w:val="000000"/>
          <w:sz w:val="21"/>
          <w:szCs w:val="21"/>
        </w:rPr>
        <w:t xml:space="preserve">/</w:t>
      </w:r>
      <w:r>
        <w:rPr>
          <w:rFonts w:ascii="SimSun" w:hAnsi="SimSun" w:eastAsia="SimSun" w:cs="SimSun"/>
          <w:color w:val="000000"/>
          <w:sz w:val="21"/>
          <w:szCs w:val="21"/>
        </w:rPr>
        <w:t xml:space="preserve">年）、周末（双休日）天数（</w:t>
      </w:r>
      <w:r>
        <w:rPr>
          <w:rFonts w:ascii="SimSun" w:hAnsi="SimSun" w:eastAsia="SimSun" w:cs="SimSun"/>
          <w:color w:val="000000"/>
          <w:sz w:val="21"/>
          <w:szCs w:val="21"/>
        </w:rPr>
        <w:t xml:space="preserve">80</w:t>
      </w:r>
      <w:r>
        <w:rPr>
          <w:rFonts w:ascii="SimSun" w:hAnsi="SimSun" w:eastAsia="SimSun" w:cs="SimSun"/>
          <w:color w:val="000000"/>
          <w:sz w:val="21"/>
          <w:szCs w:val="21"/>
        </w:rPr>
        <w:t xml:space="preserve">天</w:t>
      </w:r>
      <w:r>
        <w:rPr>
          <w:rFonts w:ascii="SimSun" w:hAnsi="SimSun" w:eastAsia="SimSun" w:cs="SimSun"/>
          <w:color w:val="000000"/>
          <w:sz w:val="21"/>
          <w:szCs w:val="21"/>
        </w:rPr>
        <w:t xml:space="preserve">/</w:t>
      </w:r>
      <w:r>
        <w:rPr>
          <w:rFonts w:ascii="SimSun" w:hAnsi="SimSun" w:eastAsia="SimSun" w:cs="SimSun"/>
          <w:color w:val="000000"/>
          <w:sz w:val="21"/>
          <w:szCs w:val="21"/>
        </w:rPr>
        <w:t xml:space="preserve">年）进行测算</w:t>
      </w:r>
      <w:r>
        <w:rPr>
          <w:rFonts w:ascii="SimSun" w:hAnsi="SimSun" w:eastAsia="SimSun" w:cs="SimSun"/>
          <w:color w:val="000000"/>
          <w:sz w:val="21"/>
          <w:szCs w:val="21"/>
        </w:rPr>
        <w:t xml:space="preserve">，否则做无效投标处理。</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④法定税费：供应商应依法缴纳税费，《报价明细表》中明确税费费率。</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⑤其他费用：《报价明细表》中供应商认为完成本项目安保管理服务可能产生的其他相关费用。</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w:t>
      </w:r>
      <w:r>
        <w:rPr>
          <w:rFonts w:ascii="SimSun" w:hAnsi="SimSun" w:eastAsia="SimSun" w:cs="SimSun"/>
          <w:color w:val="000000"/>
          <w:sz w:val="21"/>
          <w:szCs w:val="21"/>
        </w:rPr>
        <w:t xml:space="preserve">2</w:t>
      </w:r>
      <w:r>
        <w:rPr>
          <w:rFonts w:ascii="SimSun" w:hAnsi="SimSun" w:eastAsia="SimSun" w:cs="SimSun"/>
          <w:color w:val="000000"/>
          <w:sz w:val="21"/>
          <w:szCs w:val="21"/>
        </w:rPr>
        <w:t xml:space="preserve">）供应商未按政策规定报价、未依法缴纳税费，或者《报价明细表》中列明的分项报价为“零”或负数的（其他费用可以为“零”但不得为负数），按无效响应处理。因供应商疏忽、计算错误，导致报价表中数据错误或缺漏的，自行承担相应责任。</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w:t>
      </w:r>
      <w:r>
        <w:rPr>
          <w:rFonts w:ascii="SimSun" w:hAnsi="SimSun" w:eastAsia="SimSun" w:cs="SimSun"/>
          <w:color w:val="000000"/>
          <w:sz w:val="21"/>
          <w:szCs w:val="21"/>
        </w:rPr>
        <w:t xml:space="preserve">3</w:t>
      </w:r>
      <w:r>
        <w:rPr>
          <w:rFonts w:ascii="SimSun" w:hAnsi="SimSun" w:eastAsia="SimSun" w:cs="SimSun"/>
          <w:color w:val="000000"/>
          <w:sz w:val="21"/>
          <w:szCs w:val="21"/>
        </w:rPr>
        <w:t xml:space="preserve">）法律法规、政策文件有更新或另有规定的，从其规定。</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w:t>
      </w:r>
      <w:r>
        <w:rPr>
          <w:rFonts w:ascii="SimSun" w:hAnsi="SimSun" w:eastAsia="SimSun" w:cs="SimSun"/>
          <w:color w:val="000000"/>
          <w:sz w:val="21"/>
          <w:szCs w:val="21"/>
        </w:rPr>
        <w:t xml:space="preserve">4</w:t>
      </w:r>
      <w:r>
        <w:rPr>
          <w:rFonts w:ascii="SimSun" w:hAnsi="SimSun" w:eastAsia="SimSun" w:cs="SimSun"/>
          <w:color w:val="000000"/>
          <w:sz w:val="21"/>
          <w:szCs w:val="21"/>
        </w:rPr>
        <w:t xml:space="preserve">）供应商的任何错漏、优惠、竞争性报价不得作为减轻责任、减少服务、增加收费、降低服务质量的理由。</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rFonts w:ascii="SimSun" w:hAnsi="SimSun" w:eastAsia="SimSun" w:cs="SimSun"/>
          <w:color w:val="000000"/>
          <w:sz w:val="21"/>
          <w:szCs w:val="21"/>
        </w:rPr>
        <w:t xml:space="preserve">付款条件</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以第三章合同文本内容为准。</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w:t>
      </w:r>
      <w:r>
        <w:rPr>
          <w:rFonts w:ascii="SimSun" w:hAnsi="SimSun" w:eastAsia="SimSun" w:cs="SimSun"/>
          <w:color w:val="000000"/>
          <w:sz w:val="21"/>
          <w:szCs w:val="21"/>
        </w:rPr>
        <w:t xml:space="preserve">服务期限</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本项目服务期自合同生效之日起三年。每年服务期满，采购人有权根据考核情况决定继续履行合同或终止合同。</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如存在服务单位交接，交接期费用由采购人酌情结算，具体由采购人与成交供应商在合同中具体约定。</w:t>
      </w:r>
      <w:r>
        <w:rPr>
          <w:rFonts w:ascii="SimSun" w:hAnsi="SimSun" w:eastAsia="SimSun" w:cs="SimSun"/>
          <w:color w:val="000000"/>
          <w:sz w:val="21"/>
          <w:szCs w:val="21"/>
        </w:rPr>
      </w:r>
      <w:r/>
    </w:p>
    <w:p>
      <w:pPr>
        <w:ind w:left="0" w:right="0" w:firstLine="420"/>
        <w:spacing w:before="0" w:after="0" w:line="74"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w:t>
      </w:r>
      <w:r>
        <w:rPr>
          <w:rFonts w:ascii="SimSun" w:hAnsi="SimSun" w:eastAsia="SimSun" w:cs="SimSun"/>
          <w:color w:val="000000"/>
          <w:sz w:val="21"/>
          <w:szCs w:val="21"/>
        </w:rPr>
        <w:t xml:space="preserve">履约保证金</w:t>
      </w:r>
      <w:r>
        <w:rPr>
          <w:rFonts w:ascii="SimSun" w:hAnsi="SimSun" w:eastAsia="SimSun" w:cs="SimSun"/>
          <w:color w:val="000000"/>
          <w:sz w:val="21"/>
          <w:szCs w:val="21"/>
        </w:rPr>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以第三章合同文本内容为准</w:t>
      </w:r>
      <w:r>
        <w:rPr>
          <w:rFonts w:ascii="Arial Unicode MS" w:hAnsi="Arial Unicode MS" w:eastAsia="Arial Unicode MS" w:cs="Arial Unicode MS"/>
          <w:color w:val="000000"/>
          <w:sz w:val="21"/>
        </w:rPr>
        <w:t xml:space="preserve">。</w:t>
      </w:r>
      <w:r/>
    </w:p>
    <w:p>
      <w:pPr>
        <w:ind w:left="0" w:right="0" w:firstLine="42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备注：本章所有要求均为实质性要求，不允许负偏离，否则作无效标处理。加★项应在技术或商务要求响应及偏离表进行响应。</w:t>
      </w:r>
      <w:r/>
    </w:p>
    <w:p>
      <w:pPr>
        <w:ind w:left="0" w:right="0" w:firstLine="48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723"/>
        <w:jc w:val="center"/>
        <w:spacing w:before="240" w:after="240" w:line="79"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成交标准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对于未预留份额专门面向中小企业采购的采购项目或预留份额项目中的非预留部分采购包，服务全部由小微企业承接的，对报价给予10%的扣除，用扣除后的价格参与评审。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4.所有认证、证明和业绩均以有效的证明文件的复印件加盖电子公章为依据。供应商提供虚假材料的，自行承担相应后果。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5.综合评标办法：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1"/>
        <w:gridCol w:w="1135"/>
        <w:gridCol w:w="6364"/>
        <w:gridCol w:w="552"/>
        <w:gridCol w:w="755"/>
      </w:tblGrid>
      <w:tr>
        <w:trPr>
          <w:trHeight w:val="29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264"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264"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jc w:val="center"/>
              <w:spacing w:before="264"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264"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264"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8" w:type="dxa"/>
            <w:vAlign w:val="top"/>
            <w:textDirection w:val="lrTb"/>
            <w:noWrap w:val="false"/>
          </w:tcPr>
          <w:p>
            <w:pPr>
              <w:ind w:left="114" w:right="0" w:firstLine="0"/>
              <w:jc w:val="both"/>
              <w:spacing w:before="122"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格20分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价，其价格分为满分。其他投标人的价格分统一按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r>
      <w:tr>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8" w:type="dxa"/>
            <w:vAlign w:val="top"/>
            <w:textDirection w:val="lrTb"/>
            <w:noWrap w:val="false"/>
          </w:tcPr>
          <w:p>
            <w:pPr>
              <w:ind w:left="114" w:right="0" w:firstLine="0"/>
              <w:jc w:val="both"/>
              <w:spacing w:before="123"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2.服务54分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服务实施方案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评委根据投标人提供的实施方案（包含</w:t>
            </w:r>
            <w:r>
              <w:rPr>
                <w:rFonts w:ascii="SimSun" w:hAnsi="SimSun" w:eastAsia="SimSun" w:cs="SimSun"/>
                <w:color w:val="000000"/>
                <w:spacing w:val="-2"/>
                <w:sz w:val="21"/>
              </w:rPr>
              <w:t xml:space="preserve">管理工作目标定位、组织机构设置及岗位职责制度与考核方法、项目重难点分析及把控</w:t>
            </w:r>
            <w:r>
              <w:rPr>
                <w:rFonts w:ascii="SimSun" w:hAnsi="SimSun" w:eastAsia="SimSun" w:cs="SimSun"/>
                <w:color w:val="000000"/>
                <w:sz w:val="21"/>
              </w:rPr>
              <w:t xml:space="preserve">）进行综合评分：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（1）内容实施细节、服务内容、服务承诺等全面完善，科学合理，可行性强的，得9分；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（2）内容实施细节、服务内容、服务承诺等较为全面完善，较合理，可行性较强的，得6分；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（3）内容实施细节、服务内容、服务承诺等基本全面，基本合理，具备一定可行性的，得3分；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（4）其他或未提供方案的，不得分。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服务管理方案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评委根据投标人提供的服务管理方案（包含人员管理、日常运营和现场管理等）进行综合评分：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（1）内容完善、针对性强、重点难点把握准确、措施有力的，得9分；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（2）内容较完善、针对性较强、重点难点把握较准确、措施较有力的，得6分；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（3）内容基本完善、有一定针对性、重点难点把握基本准确、措施较基本有力的，得3分；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（4）其他或未提供方案的，不得分。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交接进驻方案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结合校园安保特点，评委根据投标人提供的交接过渡方案（含工作交接、衔接方案、承接查验方案、进场、退场的交接方案等）进行综合评分：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（1）方案符合性、合理性、科学性、可行性强，得9分；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（2）方案符合性、合理性、科学性、可行性较强，得6分；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（3）方案具有一定的符合性、合理性、科学性、可行性，得3分；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（4）其他或未提供方案的，不得分。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应急处理预案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评委根据投标人提供的应急处理预案（包含</w:t>
            </w:r>
            <w:r>
              <w:rPr>
                <w:rFonts w:ascii="SimSun" w:hAnsi="SimSun" w:eastAsia="SimSun" w:cs="SimSun"/>
                <w:color w:val="000000"/>
                <w:spacing w:val="-2"/>
                <w:sz w:val="21"/>
              </w:rPr>
              <w:t xml:space="preserve">各类突发事件（包括火警、治安等突发事件等）处理流程及方法及相关预案措施</w:t>
            </w:r>
            <w:r>
              <w:rPr>
                <w:rFonts w:ascii="SimSun" w:hAnsi="SimSun" w:eastAsia="SimSun" w:cs="SimSun"/>
                <w:color w:val="000000"/>
                <w:sz w:val="21"/>
              </w:rPr>
              <w:t xml:space="preserve">）综合评分</w:t>
            </w:r>
            <w:r>
              <w:rPr>
                <w:rFonts w:ascii="SimSun" w:hAnsi="SimSun" w:eastAsia="SimSun" w:cs="SimSun"/>
                <w:color w:val="000000"/>
                <w:spacing w:val="-2"/>
                <w:sz w:val="21"/>
              </w:rPr>
              <w:t xml:space="preserve">：</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（1）方案符合性、合理性、科学性、可行性强，得9分；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（2）方案符合性、合理性、科学性、可行性较强，得6分；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（3）方案具有一定的符合性、合理性、科学性、可行性，得3分；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（4）其他或未提供方案的，不得分。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质量保证措施及规章制度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评委根据投标人提供的安保服务质量保证措施及规章制度进行综合评分：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（1）内容完备健全、针对性强、可操作性强的，得9分；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（2）内容较完备健全、针对性较强、可操作性较强的，得6分；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（3）内容基本完备、具备一定针对性和可操作性的，得3分；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（4）上述每项内容不可行或未提供的不得分。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w:t>
            </w:r>
            <w:r>
              <w:rPr>
                <w:rFonts w:ascii="SimSun" w:hAnsi="SimSun" w:eastAsia="SimSun" w:cs="SimSun"/>
                <w:color w:val="000000"/>
                <w:spacing w:val="-4"/>
                <w:sz w:val="21"/>
              </w:rPr>
              <w:t xml:space="preserve">观分</w:t>
            </w:r>
            <w:r/>
          </w:p>
        </w:tc>
      </w:tr>
      <w:tr>
        <w:trPr>
          <w:trHeight w:val="19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学校重大活动服务方案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结合校园安保特点，评委根据投标人提供的学校重大活动服务方案（重大活动含庆祝纪念类、学术科技类、体育竞技类等）进行综合评分：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（1）方案符合性、合理性、科学性、可行性强，得9分；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（2）方案符合性、合理性、科学性、可行性较强，得6分；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（3）方案具有一定的符合性、合理性、科学性、可行性，得3分；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8"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3.业绩9分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both"/>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投标人业绩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单位提供自2022年1月1日（含）以来具有类似安保服务项目的业绩，每提供一个业绩得3分，最多得9分。（提供合同复印件和所签合同相应的发票扫描件并加盖投标人公章，合同须能体现签订时间、服务内容等相关信息，同一单位只能算一份有效合同，否则视为未提供本项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8" w:type="dxa"/>
            <w:vAlign w:val="top"/>
            <w:textDirection w:val="lrTb"/>
            <w:noWrap w:val="false"/>
          </w:tcPr>
          <w:p>
            <w:pPr>
              <w:ind w:left="0" w:right="0" w:firstLine="0"/>
              <w:jc w:val="both"/>
              <w:spacing w:before="123"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4.履约能力17分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both"/>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履约能力1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投标人拟投入本项目的安保领班自2022年1月1日至今具有校园安保服务或物业服务项目2年（含）以上工作经验并获得业主单位履职好评的，得3分。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注：提供被业主单位出具的履职证明材料（需体现人员姓名、工作岗位、服务年限、服务内容、履职评价）。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both"/>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投标人拟投入本项目的宿管领班自2022年1月1日至今具有校园宿舍管理服务或物业服务项目2年（含）以上工作经验并获得业主单位履职好评的，得2分。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注：提供业主单位出具的履职证明材料（需体现人员姓名、工作岗位、服务年限、服务内容、履职评价）。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68"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5" w:type="dxa"/>
            <w:vAlign w:val="center"/>
            <w:textDirection w:val="lrTb"/>
            <w:noWrap w:val="false"/>
          </w:tcPr>
          <w:p>
            <w:pPr>
              <w:ind w:left="0" w:right="0" w:firstLine="0"/>
              <w:jc w:val="both"/>
              <w:spacing w:before="6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64"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投标人拟投入本项目得服务人员具备高级保安员证，每提供一人得2分，本项最多得12分。（提供有效证书）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56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56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rPr>
        <w:t xml:space="preserve"> </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 （加盖电子公章）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致：南京大学附属中学</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如果我公司成交，将在成交结果公示后七个工作日内向采购人提供下列材料核验：</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二、特定资格要求的证明文件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（被授权人的姓名）作为我方就编号为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的项目采购活动的合法代理人，以本单位名义全权处理一切与该项目采购有关的事务。</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被授权人：（签名）</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授权单位名称：（加盖电子公章）</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240" w:after="240" w:line="113" w:lineRule="atLeast"/>
        <w:tabs>
          <w:tab w:val="left" w:pos="360" w:leader="none"/>
        </w:tabs>
        <w:rPr>
          <w:sz w:val="24"/>
          <w:szCs w:val="24"/>
        </w:rPr>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480"/>
        <w:spacing w:before="240" w:after="240" w:line="113" w:lineRule="atLeast"/>
        <w:tabs>
          <w:tab w:val="left" w:pos="360" w:leader="none"/>
        </w:tabs>
        <w:rPr>
          <w:sz w:val="24"/>
          <w:szCs w:val="24"/>
        </w:rPr>
        <w:pBdr>
          <w:top w:val="none" w:color="000000" w:sz="4" w:space="0"/>
          <w:left w:val="none" w:color="000000" w:sz="4" w:space="0"/>
          <w:bottom w:val="none" w:color="000000" w:sz="4" w:space="0"/>
          <w:right w:val="none" w:color="000000" w:sz="4" w:space="0"/>
        </w:pBdr>
      </w:pPr>
      <w:r>
        <w:rPr>
          <w:sz w:val="24"/>
        </w:rPr>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附法人及被授权人身份证复印件</w:t>
      </w:r>
      <w:r>
        <w:rPr>
          <w:sz w:val="24"/>
        </w:rPr>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w:t>
      </w:r>
      <w:r>
        <w:rPr>
          <w:rFonts w:ascii="Arial Unicode MS" w:hAnsi="Arial Unicode MS" w:eastAsia="Arial Unicode MS" w:cs="Arial Unicode MS"/>
          <w:b/>
          <w:color w:val="000000"/>
          <w:sz w:val="32"/>
        </w:rPr>
        <w:t xml:space="preserve">磋商</w:t>
      </w:r>
      <w:r>
        <w:rPr>
          <w:rFonts w:ascii="SimSun" w:hAnsi="SimSun" w:eastAsia="SimSun" w:cs="SimSun"/>
          <w:b/>
          <w:color w:val="000000"/>
          <w:sz w:val="32"/>
        </w:rPr>
        <w:t xml:space="preserve">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w:t>
      </w:r>
      <w:r>
        <w:rPr>
          <w:rFonts w:ascii="SimSun" w:hAnsi="SimSun" w:eastAsia="SimSun" w:cs="SimSun"/>
          <w:color w:val="000000"/>
          <w:sz w:val="32"/>
        </w:rPr>
        <w:t xml:space="preserve">响应函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致：南京大学附属中学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的项目磋商文件，我方正式提交磋商响应函，并宣布同意如下内容：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w:t>
      </w:r>
      <w:r>
        <w:rPr>
          <w:rFonts w:ascii="SimSun" w:hAnsi="SimSun" w:eastAsia="SimSun" w:cs="SimSun"/>
          <w:color w:val="000000"/>
          <w:sz w:val="24"/>
        </w:rPr>
        <w:t xml:space="preserve">磋商</w:t>
      </w:r>
      <w:r>
        <w:rPr>
          <w:rFonts w:ascii="SimSun" w:hAnsi="SimSun" w:eastAsia="SimSun" w:cs="SimSun"/>
          <w:color w:val="000000"/>
          <w:sz w:val="24"/>
        </w:rPr>
        <w:t xml:space="preserve">文件规定的各项要求，向买方提供所需服务（包含与服务相关的货物）。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w:t>
      </w:r>
      <w:r>
        <w:rPr>
          <w:rFonts w:ascii="SimSun" w:hAnsi="SimSun" w:eastAsia="SimSun" w:cs="SimSun"/>
          <w:color w:val="000000"/>
          <w:sz w:val="24"/>
        </w:rPr>
        <w:t xml:space="preserve">磋商</w:t>
      </w:r>
      <w:r>
        <w:rPr>
          <w:rFonts w:ascii="SimSun" w:hAnsi="SimSun" w:eastAsia="SimSun" w:cs="SimSun"/>
          <w:color w:val="000000"/>
          <w:sz w:val="24"/>
        </w:rPr>
        <w:t xml:space="preserve">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 ¨其他（对应¨内打“√”）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8.我方与本次磋商有关的正式通讯地址为：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五、磋商报价表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
        <w:gridCol w:w="8823"/>
        <w:gridCol w:w="455"/>
      </w:tblGrid>
      <w:tr>
        <w:trPr>
          <w:gridAfter w:val="1"/>
          <w:trHeight w:val="801"/>
        </w:trPr>
        <w:tc>
          <w:tcPr>
            <w:tcBorders>
              <w:top w:val="single" w:color="000000" w:sz="5" w:space="0"/>
              <w:left w:val="single" w:color="000000" w:sz="5" w:space="0"/>
              <w:bottom w:val="single" w:color="000000" w:sz="5" w:space="0"/>
              <w:right w:val="single" w:color="000000" w:sz="5" w:space="0"/>
            </w:tcBorders>
            <w:tcMar>
              <w:left w:w="15" w:type="dxa"/>
              <w:top w:w="15" w:type="dxa"/>
              <w:right w:w="15" w:type="dxa"/>
              <w:bottom w:w="15" w:type="dxa"/>
            </w:tcMar>
            <w:tcW w:w="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823" w:type="dxa"/>
            <w:vAlign w:val="center"/>
            <w:textDirection w:val="lrTb"/>
            <w:noWrap w:val="false"/>
          </w:tcPr>
          <w:p>
            <w:pPr>
              <w:ind w:left="8" w:right="0" w:hanging="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8" w:right="0" w:hanging="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gridAfter w:val="1"/>
          <w:trHeight w:val="725"/>
        </w:trPr>
        <w:tc>
          <w:tcPr>
            <w:tcBorders>
              <w:top w:val="single" w:color="000000" w:sz="5" w:space="0"/>
              <w:left w:val="single" w:color="000000" w:sz="5" w:space="0"/>
              <w:bottom w:val="single" w:color="000000" w:sz="5" w:space="0"/>
              <w:right w:val="single" w:color="000000" w:sz="5" w:space="0"/>
            </w:tcBorders>
            <w:tcMar>
              <w:left w:w="15" w:type="dxa"/>
              <w:top w:w="15" w:type="dxa"/>
              <w:right w:w="15" w:type="dxa"/>
              <w:bottom w:w="15" w:type="dxa"/>
            </w:tcMar>
            <w:tcW w:w="77"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gridAfter w:val="1"/>
          <w:trHeight w:val="780"/>
        </w:trPr>
        <w:tc>
          <w:tcPr>
            <w:tcBorders>
              <w:top w:val="single" w:color="000000" w:sz="5" w:space="0"/>
              <w:left w:val="single" w:color="000000" w:sz="5" w:space="0"/>
              <w:bottom w:val="single" w:color="000000" w:sz="5" w:space="0"/>
              <w:right w:val="single" w:color="000000" w:sz="5" w:space="0"/>
            </w:tcBorders>
            <w:tcMar>
              <w:left w:w="15" w:type="dxa"/>
              <w:top w:w="15" w:type="dxa"/>
              <w:right w:w="15" w:type="dxa"/>
              <w:bottom w:w="15" w:type="dxa"/>
            </w:tcMar>
            <w:tcW w:w="7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3"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六、报价明细表</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报价明细表</w:t>
      </w:r>
      <w:r/>
    </w:p>
    <w:tbl>
      <w:tblPr>
        <w:tblStyle w:val="668"/>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691"/>
        <w:gridCol w:w="1375"/>
        <w:gridCol w:w="645"/>
        <w:gridCol w:w="931"/>
        <w:gridCol w:w="911"/>
        <w:gridCol w:w="942"/>
        <w:gridCol w:w="1185"/>
        <w:gridCol w:w="2579"/>
      </w:tblGrid>
      <w:tr>
        <w:trPr>
          <w:trHeight w:val="81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单价</w:t>
              <w:br/>
            </w:r>
            <w:r>
              <w:rPr>
                <w:rFonts w:ascii="SimSun" w:hAnsi="SimSun" w:eastAsia="SimSun" w:cs="SimSun"/>
                <w:b/>
                <w:color w:val="000000"/>
                <w:sz w:val="18"/>
              </w:rPr>
              <w:t xml:space="preserve">（元/</w:t>
            </w:r>
            <w:r>
              <w:rPr>
                <w:rFonts w:ascii="Arial Unicode MS" w:hAnsi="Arial Unicode MS" w:eastAsia="Arial Unicode MS" w:cs="Arial Unicode MS"/>
                <w:b/>
                <w:color w:val="000000"/>
                <w:sz w:val="18"/>
              </w:rPr>
              <w:t xml:space="preserve">人</w:t>
            </w:r>
            <w:r>
              <w:rPr>
                <w:rFonts w:ascii="SimSun" w:hAnsi="SimSun" w:eastAsia="SimSun" w:cs="SimSun"/>
                <w:b/>
                <w:color w:val="000000"/>
                <w:sz w:val="18"/>
              </w:rPr>
              <w:t xml:space="preserve">*月）</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Mar>
              <w:left w:w="108" w:type="dxa"/>
              <w:top w:w="0" w:type="dxa"/>
              <w:right w:w="108"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费用计算公式</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82"/>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6"/>
            <w:tcMar>
              <w:left w:w="108" w:type="dxa"/>
              <w:top w:w="0" w:type="dxa"/>
              <w:right w:w="108" w:type="dxa"/>
              <w:bottom w:w="0" w:type="dxa"/>
            </w:tcMar>
            <w:tcW w:w="59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tcMar>
              <w:left w:w="108" w:type="dxa"/>
              <w:top w:w="0" w:type="dxa"/>
              <w:right w:w="108" w:type="dxa"/>
              <w:bottom w:w="0" w:type="dxa"/>
            </w:tcMar>
            <w:tcW w:w="257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拟投入的人员不得低于</w:t>
            </w:r>
            <w:r>
              <w:rPr>
                <w:rFonts w:ascii="SimSun" w:hAnsi="SimSun" w:eastAsia="SimSun" w:cs="SimSun"/>
                <w:b/>
                <w:color w:val="000000"/>
                <w:sz w:val="18"/>
              </w:rPr>
              <w:t xml:space="preserve">20人</w:t>
            </w:r>
            <w:r>
              <w:rPr>
                <w:rFonts w:ascii="SimSun" w:hAnsi="SimSun" w:eastAsia="SimSun" w:cs="SimSun"/>
                <w:color w:val="000000"/>
                <w:sz w:val="18"/>
              </w:rPr>
              <w:t xml:space="preserve">，人员工资不得低于南京市最低工资标准，供应商须在《报价明细表》中按照采购需求中安保服务人员岗位分别填报员工工资，否则做无效响应处理。</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24"/>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1347"/>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6"/>
            <w:tcMar>
              <w:left w:w="108" w:type="dxa"/>
              <w:top w:w="0" w:type="dxa"/>
              <w:right w:w="108" w:type="dxa"/>
              <w:bottom w:w="0" w:type="dxa"/>
            </w:tcMar>
            <w:tcW w:w="59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tcMar>
              <w:left w:w="108" w:type="dxa"/>
              <w:top w:w="0" w:type="dxa"/>
              <w:right w:w="108" w:type="dxa"/>
              <w:bottom w:w="0" w:type="dxa"/>
            </w:tcMar>
            <w:tcW w:w="2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供应商须在《报价明细表》中按照采购文件采购需求中安保服务人员岗位分别填报员工社保和公积金费用，且须满足采购文件采购需求中的“报价要求”，否则做无效响应处理。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供应商为投入本项目服务人员缴纳社保和公积金的人数不得低于</w:t>
            </w:r>
            <w:r>
              <w:rPr>
                <w:rFonts w:ascii="SimSun" w:hAnsi="SimSun" w:eastAsia="SimSun" w:cs="SimSun"/>
                <w:b/>
                <w:color w:val="000000"/>
                <w:sz w:val="18"/>
              </w:rPr>
              <w:t xml:space="preserve">20人</w:t>
            </w:r>
            <w:r>
              <w:rPr>
                <w:rFonts w:ascii="SimSun" w:hAnsi="SimSun" w:eastAsia="SimSun" w:cs="SimSun"/>
                <w:color w:val="000000"/>
                <w:sz w:val="18"/>
              </w:rPr>
              <w:t xml:space="preserve">（不包含享受社保公积金减免政策人员、退休返聘人员等）</w:t>
            </w:r>
            <w:r/>
          </w:p>
        </w:tc>
      </w:tr>
      <w:tr>
        <w:trPr>
          <w:trHeight w:val="415"/>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6"/>
            <w:tcMar>
              <w:left w:w="108" w:type="dxa"/>
              <w:top w:w="0" w:type="dxa"/>
              <w:right w:w="108" w:type="dxa"/>
              <w:bottom w:w="0" w:type="dxa"/>
            </w:tcMar>
            <w:tcW w:w="59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tcMar>
              <w:left w:w="108" w:type="dxa"/>
              <w:top w:w="0" w:type="dxa"/>
              <w:right w:w="108" w:type="dxa"/>
              <w:bottom w:w="0" w:type="dxa"/>
            </w:tcMar>
            <w:tcW w:w="257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社保费用不得低于南京市最低标准，否则做无效响应处理。</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67"/>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36"/>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05"/>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383"/>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6"/>
            <w:tcMar>
              <w:left w:w="108" w:type="dxa"/>
              <w:top w:w="0" w:type="dxa"/>
              <w:right w:w="108" w:type="dxa"/>
              <w:bottom w:w="0" w:type="dxa"/>
            </w:tcMar>
            <w:tcW w:w="59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tcMar>
              <w:left w:w="108" w:type="dxa"/>
              <w:top w:w="0" w:type="dxa"/>
              <w:right w:w="108" w:type="dxa"/>
              <w:bottom w:w="0" w:type="dxa"/>
            </w:tcMar>
            <w:tcW w:w="257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w:t>
            </w:r>
            <w:r>
              <w:rPr>
                <w:rFonts w:ascii="Arial Unicode MS" w:hAnsi="Arial Unicode MS" w:eastAsia="Arial Unicode MS" w:cs="Arial Unicode MS"/>
                <w:color w:val="000000"/>
                <w:sz w:val="18"/>
              </w:rPr>
              <w:t xml:space="preserve">须测算在公积金报价中，</w:t>
            </w:r>
            <w:r>
              <w:rPr>
                <w:rFonts w:ascii="SimSun" w:hAnsi="SimSun" w:eastAsia="SimSun" w:cs="SimSun"/>
                <w:color w:val="000000"/>
                <w:sz w:val="18"/>
              </w:rPr>
              <w:t xml:space="preserve">否则做无效响应处理。</w:t>
            </w:r>
            <w:r/>
          </w:p>
        </w:tc>
      </w:tr>
      <w:tr>
        <w:trPr>
          <w:trHeight w:val="426"/>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16"/>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47"/>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24"/>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239"/>
        </w:trPr>
        <w:tc>
          <w:tcPr>
            <w:tcMar>
              <w:left w:w="108" w:type="dxa"/>
              <w:top w:w="0" w:type="dxa"/>
              <w:right w:w="108" w:type="dxa"/>
              <w:bottom w:w="0" w:type="dxa"/>
            </w:tcMar>
            <w:tcW w:w="6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Mar>
              <w:left w:w="108" w:type="dxa"/>
              <w:top w:w="0" w:type="dxa"/>
              <w:right w:w="108" w:type="dxa"/>
              <w:bottom w:w="0" w:type="dxa"/>
            </w:tcMar>
            <w:tcW w:w="13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法定节假日人员加班费</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人数</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w:t>
            </w:r>
            <w:r>
              <w:rPr>
                <w:rFonts w:ascii="Arial Unicode MS" w:hAnsi="Arial Unicode MS" w:eastAsia="Arial Unicode MS" w:cs="Arial Unicode MS"/>
                <w:color w:val="000000"/>
                <w:sz w:val="18"/>
              </w:rPr>
              <w:t xml:space="preserve">人</w:t>
            </w:r>
            <w:r>
              <w:rPr>
                <w:rFonts w:ascii="SimSun" w:hAnsi="SimSun" w:eastAsia="SimSun" w:cs="SimSun"/>
                <w:color w:val="000000"/>
                <w:sz w:val="18"/>
              </w:rPr>
              <w:t xml:space="preserve">*月）</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Mar>
              <w:left w:w="108" w:type="dxa"/>
              <w:top w:w="0" w:type="dxa"/>
              <w:right w:w="108"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费用计算公式</w:t>
            </w:r>
            <w:r/>
          </w:p>
        </w:tc>
        <w:tc>
          <w:tcPr>
            <w:tcMar>
              <w:left w:w="108" w:type="dxa"/>
              <w:top w:w="0" w:type="dxa"/>
              <w:right w:w="108" w:type="dxa"/>
              <w:bottom w:w="0" w:type="dxa"/>
            </w:tcMar>
            <w:tcW w:w="2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法定节假日安排劳动者工作的，支付不低于正常工资的百分之三百的工资报酬。本项目安保管理服务法定节假日在岗人数不少于</w:t>
            </w:r>
            <w:r>
              <w:rPr>
                <w:rFonts w:ascii="SimSun" w:hAnsi="SimSun" w:eastAsia="SimSun" w:cs="SimSun"/>
                <w:b/>
                <w:color w:val="000000"/>
                <w:sz w:val="18"/>
              </w:rPr>
              <w:t xml:space="preserve">10人</w:t>
            </w:r>
            <w:r>
              <w:rPr>
                <w:rFonts w:ascii="SimSun" w:hAnsi="SimSun" w:eastAsia="SimSun" w:cs="SimSun"/>
                <w:color w:val="000000"/>
                <w:sz w:val="18"/>
              </w:rPr>
              <w:t xml:space="preserve">，报价中的“法定节假日人员加班费”不得低于上述要求，并按照本项目合同履行期内的法定节假日天数进行测算，否则做无效响应处理。</w:t>
            </w:r>
            <w:r/>
          </w:p>
        </w:tc>
      </w:tr>
      <w:tr>
        <w:trPr>
          <w:trHeight w:val="517"/>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参考计算公式：人员工资÷21.75天（平均月计薪天数）×3×人数×合同履行期内的法定节假日天数</w:t>
            </w:r>
            <w:r>
              <w:rPr>
                <w:rFonts w:ascii="SimSun" w:hAnsi="SimSun" w:eastAsia="SimSun" w:cs="SimSun"/>
                <w:b/>
                <w:color w:val="000000"/>
                <w:sz w:val="18"/>
              </w:rPr>
              <w:t xml:space="preserve">(13天/年）</w:t>
            </w:r>
            <w:r/>
          </w:p>
        </w:tc>
      </w:tr>
      <w:tr>
        <w:trPr>
          <w:trHeight w:val="517"/>
        </w:trPr>
        <w:tc>
          <w:tcPr>
            <w:tcMar>
              <w:left w:w="108" w:type="dxa"/>
              <w:top w:w="0" w:type="dxa"/>
              <w:right w:w="108" w:type="dxa"/>
              <w:bottom w:w="0" w:type="dxa"/>
            </w:tcMar>
            <w:tcW w:w="6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tcMar>
              <w:left w:w="108" w:type="dxa"/>
              <w:top w:w="0" w:type="dxa"/>
              <w:right w:w="108" w:type="dxa"/>
              <w:bottom w:w="0" w:type="dxa"/>
            </w:tcMar>
            <w:tcW w:w="13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周末加班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工资</w:t>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周末安排劳动者工作且不能安排补休的，支付不低于正常工资的百分之二百的工资报酬。本项目要求除寒暑假外周末在岗人数不少于</w:t>
            </w:r>
            <w:r>
              <w:rPr>
                <w:rFonts w:ascii="SimSun" w:hAnsi="SimSun" w:eastAsia="SimSun" w:cs="SimSun"/>
                <w:b/>
                <w:color w:val="000000"/>
                <w:sz w:val="18"/>
              </w:rPr>
              <w:t xml:space="preserve">6人</w:t>
            </w:r>
            <w:r>
              <w:rPr>
                <w:rFonts w:ascii="SimSun" w:hAnsi="SimSun" w:eastAsia="SimSun" w:cs="SimSun"/>
                <w:color w:val="000000"/>
                <w:sz w:val="18"/>
              </w:rPr>
              <w:t xml:space="preserve">，报价中的周末人员加班工资不得低于上述要求，否则做无效投标处理。</w:t>
            </w:r>
            <w:r/>
          </w:p>
        </w:tc>
      </w:tr>
      <w:tr>
        <w:trPr>
          <w:trHeight w:val="517"/>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11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参考计算公式：人员工资÷21.75天（平均月计薪天数）×2×人数×周末天数</w:t>
            </w:r>
            <w:r>
              <w:rPr>
                <w:rFonts w:ascii="Arial Unicode MS" w:hAnsi="Arial Unicode MS" w:eastAsia="Arial Unicode MS" w:cs="Arial Unicode MS"/>
                <w:b/>
                <w:color w:val="000000"/>
                <w:sz w:val="18"/>
              </w:rPr>
              <w:t xml:space="preserve">（</w:t>
            </w:r>
            <w:r>
              <w:rPr>
                <w:rFonts w:ascii="SimSun" w:hAnsi="SimSun" w:eastAsia="SimSun" w:cs="SimSun"/>
                <w:b/>
                <w:color w:val="000000"/>
                <w:sz w:val="18"/>
              </w:rPr>
              <w:t xml:space="preserve">80</w:t>
            </w:r>
            <w:r>
              <w:rPr>
                <w:rFonts w:ascii="Arial Unicode MS" w:hAnsi="Arial Unicode MS" w:eastAsia="Arial Unicode MS" w:cs="Arial Unicode MS"/>
                <w:b/>
                <w:color w:val="000000"/>
                <w:sz w:val="18"/>
              </w:rPr>
              <w:t xml:space="preserve">天</w:t>
            </w:r>
            <w:r>
              <w:rPr>
                <w:rFonts w:ascii="SimSun" w:hAnsi="SimSun" w:eastAsia="SimSun" w:cs="SimSun"/>
                <w:b/>
                <w:color w:val="000000"/>
                <w:sz w:val="18"/>
              </w:rPr>
              <w:t xml:space="preserve">/</w:t>
            </w:r>
            <w:r>
              <w:rPr>
                <w:rFonts w:ascii="Arial Unicode MS" w:hAnsi="Arial Unicode MS" w:eastAsia="Arial Unicode MS" w:cs="Arial Unicode MS"/>
                <w:b/>
                <w:color w:val="000000"/>
                <w:sz w:val="18"/>
              </w:rPr>
              <w:t xml:space="preserve">年）</w:t>
            </w:r>
            <w:r/>
          </w:p>
        </w:tc>
      </w:tr>
      <w:tr>
        <w:trPr>
          <w:trHeight w:val="424"/>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gridSpan w:val="7"/>
            <w:tcMar>
              <w:left w:w="108" w:type="dxa"/>
              <w:top w:w="0" w:type="dxa"/>
              <w:right w:w="108" w:type="dxa"/>
              <w:bottom w:w="0" w:type="dxa"/>
            </w:tcMar>
            <w:tcW w:w="8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人员福利</w:t>
            </w:r>
            <w:r/>
          </w:p>
        </w:tc>
        <w:tc>
          <w:tcPr>
            <w:gridSpan w:val="5"/>
            <w:tcMar>
              <w:left w:w="108" w:type="dxa"/>
              <w:top w:w="0" w:type="dxa"/>
              <w:right w:w="108" w:type="dxa"/>
              <w:bottom w:w="0" w:type="dxa"/>
            </w:tcMar>
            <w:tcW w:w="46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国家强制性要求缴纳的或员工必须享有的福利待遇。</w:t>
            </w:r>
            <w:r/>
          </w:p>
        </w:tc>
      </w:tr>
      <w:tr>
        <w:trPr>
          <w:trHeight w:val="424"/>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gridSpan w:val="7"/>
            <w:tcMar>
              <w:left w:w="108" w:type="dxa"/>
              <w:top w:w="0" w:type="dxa"/>
              <w:right w:w="108" w:type="dxa"/>
              <w:bottom w:w="0" w:type="dxa"/>
            </w:tcMar>
            <w:tcW w:w="8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行政办公费</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办公用品费</w:t>
            </w:r>
            <w:r/>
          </w:p>
        </w:tc>
        <w:tc>
          <w:tcPr>
            <w:gridSpan w:val="5"/>
            <w:tcMar>
              <w:left w:w="108" w:type="dxa"/>
              <w:top w:w="0" w:type="dxa"/>
              <w:right w:w="108" w:type="dxa"/>
              <w:bottom w:w="0" w:type="dxa"/>
            </w:tcMar>
            <w:tcW w:w="4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5"/>
            <w:tcMar>
              <w:left w:w="108" w:type="dxa"/>
              <w:top w:w="0" w:type="dxa"/>
              <w:right w:w="108" w:type="dxa"/>
              <w:bottom w:w="0" w:type="dxa"/>
            </w:tcMar>
            <w:tcW w:w="4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5"/>
            <w:tcMar>
              <w:left w:w="108" w:type="dxa"/>
              <w:top w:w="0" w:type="dxa"/>
              <w:right w:w="108" w:type="dxa"/>
              <w:bottom w:w="0" w:type="dxa"/>
            </w:tcMar>
            <w:tcW w:w="4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5"/>
            <w:tcMar>
              <w:left w:w="108" w:type="dxa"/>
              <w:top w:w="0" w:type="dxa"/>
              <w:right w:w="108" w:type="dxa"/>
              <w:bottom w:w="0" w:type="dxa"/>
            </w:tcMar>
            <w:tcW w:w="4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服装费</w:t>
            </w:r>
            <w:r/>
          </w:p>
        </w:tc>
        <w:tc>
          <w:tcPr>
            <w:gridSpan w:val="5"/>
            <w:tcMar>
              <w:left w:w="108" w:type="dxa"/>
              <w:top w:w="0" w:type="dxa"/>
              <w:right w:w="108" w:type="dxa"/>
              <w:bottom w:w="0" w:type="dxa"/>
            </w:tcMar>
            <w:tcW w:w="4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6"/>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gridSpan w:val="7"/>
            <w:tcMar>
              <w:left w:w="108" w:type="dxa"/>
              <w:top w:w="0" w:type="dxa"/>
              <w:right w:w="108" w:type="dxa"/>
              <w:bottom w:w="0" w:type="dxa"/>
            </w:tcMar>
            <w:tcW w:w="8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工具耗材及物资装备折旧费</w:t>
            </w:r>
            <w:r/>
          </w:p>
        </w:tc>
      </w:tr>
      <w:tr>
        <w:trPr>
          <w:trHeight w:val="49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物资装备折旧费</w:t>
            </w:r>
            <w:r/>
          </w:p>
        </w:tc>
        <w:tc>
          <w:tcPr>
            <w:gridSpan w:val="5"/>
            <w:tcMar>
              <w:left w:w="108" w:type="dxa"/>
              <w:top w:w="0" w:type="dxa"/>
              <w:right w:w="108" w:type="dxa"/>
              <w:bottom w:w="0" w:type="dxa"/>
            </w:tcMar>
            <w:tcW w:w="4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6"/>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5"/>
            <w:tcMar>
              <w:left w:w="108" w:type="dxa"/>
              <w:top w:w="0" w:type="dxa"/>
              <w:right w:w="108" w:type="dxa"/>
              <w:bottom w:w="0" w:type="dxa"/>
            </w:tcMar>
            <w:tcW w:w="4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利润</w:t>
            </w:r>
            <w:r/>
          </w:p>
        </w:tc>
        <w:tc>
          <w:tcPr>
            <w:gridSpan w:val="5"/>
            <w:tcMar>
              <w:left w:w="108" w:type="dxa"/>
              <w:top w:w="0" w:type="dxa"/>
              <w:right w:w="108" w:type="dxa"/>
              <w:bottom w:w="0" w:type="dxa"/>
            </w:tcMar>
            <w:tcW w:w="4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5"/>
            <w:tcMar>
              <w:left w:w="108" w:type="dxa"/>
              <w:top w:w="0" w:type="dxa"/>
              <w:right w:w="108" w:type="dxa"/>
              <w:bottom w:w="0" w:type="dxa"/>
            </w:tcMar>
            <w:tcW w:w="46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（须填报税率、计算公式）</w:t>
            </w:r>
            <w:r/>
          </w:p>
        </w:tc>
        <w:tc>
          <w:tcPr>
            <w:tcMar>
              <w:left w:w="108" w:type="dxa"/>
              <w:top w:w="0" w:type="dxa"/>
              <w:right w:w="108" w:type="dxa"/>
              <w:bottom w:w="0" w:type="dxa"/>
            </w:tcMar>
            <w:tcW w:w="25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供应商应依法缴纳税费。</w:t>
            </w:r>
            <w:r/>
          </w:p>
        </w:tc>
      </w:tr>
      <w:tr>
        <w:trPr>
          <w:trHeight w:val="970"/>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c>
          <w:tcPr>
            <w:gridSpan w:val="5"/>
            <w:tcMar>
              <w:left w:w="108" w:type="dxa"/>
              <w:top w:w="0" w:type="dxa"/>
              <w:right w:w="108" w:type="dxa"/>
              <w:bottom w:w="0" w:type="dxa"/>
            </w:tcMar>
            <w:tcW w:w="46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Mar>
              <w:left w:w="108" w:type="dxa"/>
              <w:top w:w="0" w:type="dxa"/>
              <w:right w:w="108" w:type="dxa"/>
              <w:bottom w:w="0" w:type="dxa"/>
            </w:tcMar>
            <w:tcW w:w="25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54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一年总价（元）</w:t>
            </w:r>
            <w:r/>
          </w:p>
        </w:tc>
        <w:tc>
          <w:tcPr>
            <w:gridSpan w:val="6"/>
            <w:tcMar>
              <w:left w:w="108" w:type="dxa"/>
              <w:top w:w="0" w:type="dxa"/>
              <w:right w:w="108" w:type="dxa"/>
              <w:bottom w:w="0" w:type="dxa"/>
            </w:tcMar>
            <w:tcW w:w="7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备注：一年按12个月核算，一年报价不超过1200000</w:t>
            </w:r>
            <w:r>
              <w:rPr>
                <w:rFonts w:ascii="SimSun" w:hAnsi="SimSun" w:eastAsia="SimSun" w:cs="SimSun"/>
                <w:b/>
                <w:color w:val="000000"/>
                <w:sz w:val="18"/>
              </w:rPr>
              <w:t xml:space="preserve">元</w:t>
            </w:r>
            <w:r/>
          </w:p>
        </w:tc>
      </w:tr>
      <w:tr>
        <w:trPr>
          <w:trHeight w:val="549"/>
        </w:trPr>
        <w:tc>
          <w:tcPr>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12</w:t>
            </w:r>
            <w:r/>
          </w:p>
        </w:tc>
        <w:tc>
          <w:tcPr>
            <w:tcMar>
              <w:left w:w="108" w:type="dxa"/>
              <w:top w:w="0" w:type="dxa"/>
              <w:right w:w="108"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三年总价（元）</w:t>
            </w:r>
            <w:r/>
          </w:p>
        </w:tc>
        <w:tc>
          <w:tcPr>
            <w:gridSpan w:val="6"/>
            <w:tcMar>
              <w:left w:w="108" w:type="dxa"/>
              <w:top w:w="0" w:type="dxa"/>
              <w:right w:w="108" w:type="dxa"/>
              <w:bottom w:w="0" w:type="dxa"/>
            </w:tcMar>
            <w:tcW w:w="7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881"/>
        </w:trPr>
        <w:tc>
          <w:tcPr>
            <w:gridSpan w:val="8"/>
            <w:tcMar>
              <w:left w:w="108" w:type="dxa"/>
              <w:top w:w="0" w:type="dxa"/>
              <w:right w:w="108" w:type="dxa"/>
              <w:bottom w:w="0" w:type="dxa"/>
            </w:tcMar>
            <w:tcW w:w="92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报价明细表》“总价”应当与《磋商报价表》中“总报价”一致。（5）此表中所有数值保留小数点后两位进行计算。</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附：最低工资标准、社保及公积金相关规定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下表为目前南京市最低工资标准、社会保险、住房公积金的相关规定，作为测算报价和分析报价合理性的参考</w:t>
      </w:r>
      <w:r>
        <w:rPr>
          <w:rFonts w:ascii="Arial Unicode MS" w:hAnsi="Arial Unicode MS" w:eastAsia="Arial Unicode MS" w:cs="Arial Unicode MS"/>
          <w:b/>
          <w:color w:val="000000"/>
          <w:sz w:val="21"/>
        </w:rPr>
        <w:t xml:space="preserve">。社会保险缴费基数不得低于省级人社部门现行文件规定，公积金缴存基数不得低于本市关于住房公积金缴存基数的相关规定。</w:t>
      </w:r>
      <w:r>
        <w:rPr>
          <w:rFonts w:ascii="SimSun" w:hAnsi="SimSun" w:eastAsia="SimSun" w:cs="SimSun"/>
          <w:b/>
          <w:color w:val="000000"/>
          <w:sz w:val="21"/>
        </w:rPr>
        <w:t xml:space="preserve">法律法规或政策文件</w:t>
      </w:r>
      <w:r>
        <w:rPr>
          <w:rFonts w:ascii="Arial Unicode MS" w:hAnsi="Arial Unicode MS" w:eastAsia="Arial Unicode MS" w:cs="Arial Unicode MS"/>
          <w:b/>
          <w:color w:val="000000"/>
          <w:sz w:val="21"/>
        </w:rPr>
        <w:t xml:space="preserve">有</w:t>
      </w:r>
      <w:r>
        <w:rPr>
          <w:rFonts w:ascii="SimSun" w:hAnsi="SimSun" w:eastAsia="SimSun" w:cs="SimSun"/>
          <w:b/>
          <w:color w:val="000000"/>
          <w:sz w:val="21"/>
        </w:rPr>
        <w:t xml:space="preserve">更新或另有规定的，</w:t>
      </w:r>
      <w:r>
        <w:rPr>
          <w:rFonts w:ascii="Arial Unicode MS" w:hAnsi="Arial Unicode MS" w:eastAsia="Arial Unicode MS" w:cs="Arial Unicode MS"/>
          <w:b/>
          <w:color w:val="000000"/>
          <w:sz w:val="21"/>
        </w:rPr>
        <w:t xml:space="preserve">从其规定</w:t>
      </w:r>
      <w:r>
        <w:rPr>
          <w:rFonts w:ascii="SimSun" w:hAnsi="SimSun" w:eastAsia="SimSun" w:cs="SimSun"/>
          <w:b/>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表1：最低工资标准、社会保险及公积金（参考）</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
        <w:gridCol w:w="1130"/>
        <w:gridCol w:w="2545"/>
        <w:gridCol w:w="846"/>
        <w:gridCol w:w="4394"/>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计算公式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最低工资标准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社保单位计提费用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缴费基数（≥</w:t>
            </w:r>
            <w:r>
              <w:rPr>
                <w:rFonts w:ascii="SimSun" w:hAnsi="SimSun" w:eastAsia="SimSun" w:cs="SimSun"/>
                <w:color w:val="000000"/>
                <w:sz w:val="21"/>
              </w:rPr>
              <w:t xml:space="preserve">4952</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缴费比例（≥</w:t>
            </w:r>
            <w:r>
              <w:rPr>
                <w:rFonts w:ascii="SimSun" w:hAnsi="SimSun" w:eastAsia="SimSun" w:cs="SimSun"/>
                <w:color w:val="000000"/>
                <w:sz w:val="21"/>
              </w:rPr>
              <w:t xml:space="preserve">24.7%</w:t>
            </w:r>
            <w:r>
              <w:rPr>
                <w:rFonts w:ascii="Arial Unicode MS" w:hAnsi="Arial Unicode MS" w:eastAsia="Arial Unicode MS" w:cs="Arial Unicode MS"/>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1223.144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1"/>
              </w:rPr>
              <w:t xml:space="preserve">如保留小数点后两位测算，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1"/>
              </w:rPr>
              <w:t xml:space="preserve">金额≥</w:t>
            </w:r>
            <w:r>
              <w:rPr>
                <w:rFonts w:ascii="SimSun" w:hAnsi="SimSun" w:eastAsia="SimSun" w:cs="SimSun"/>
                <w:b/>
                <w:color w:val="000000"/>
                <w:sz w:val="21"/>
              </w:rPr>
              <w:t xml:space="preserve">1223.15</w:t>
            </w:r>
            <w:r/>
          </w:p>
        </w:tc>
      </w:tr>
      <w:tr>
        <w:trPr>
          <w:trHeight w:val="7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公积金单位计提费用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缴存基数（≥</w:t>
            </w:r>
            <w:r>
              <w:rPr>
                <w:rFonts w:ascii="SimSun" w:hAnsi="SimSun" w:eastAsia="SimSun" w:cs="SimSun"/>
                <w:color w:val="000000"/>
                <w:sz w:val="21"/>
              </w:rPr>
              <w:t xml:space="preserve">2490</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缴存比例（≥</w:t>
            </w:r>
            <w:r>
              <w:rPr>
                <w:rFonts w:ascii="SimSun" w:hAnsi="SimSun" w:eastAsia="SimSun" w:cs="SimSun"/>
                <w:color w:val="000000"/>
                <w:sz w:val="21"/>
              </w:rPr>
              <w:t xml:space="preserve">5%</w:t>
            </w:r>
            <w:r>
              <w:rPr>
                <w:rFonts w:ascii="Arial Unicode MS" w:hAnsi="Arial Unicode MS" w:eastAsia="Arial Unicode MS" w:cs="Arial Unicode MS"/>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124.5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公积金个人计提费用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缴存基数（≥</w:t>
            </w:r>
            <w:r>
              <w:rPr>
                <w:rFonts w:ascii="SimSun" w:hAnsi="SimSun" w:eastAsia="SimSun" w:cs="SimSun"/>
                <w:color w:val="000000"/>
                <w:sz w:val="21"/>
              </w:rPr>
              <w:t xml:space="preserve">2490</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缴存比例（≥</w:t>
            </w:r>
            <w:r>
              <w:rPr>
                <w:rFonts w:ascii="SimSun" w:hAnsi="SimSun" w:eastAsia="SimSun" w:cs="SimSun"/>
                <w:color w:val="000000"/>
                <w:sz w:val="21"/>
              </w:rPr>
              <w:t xml:space="preserve">5%</w:t>
            </w:r>
            <w:r>
              <w:rPr>
                <w:rFonts w:ascii="Arial Unicode MS" w:hAnsi="Arial Unicode MS" w:eastAsia="Arial Unicode MS" w:cs="Arial Unicode MS"/>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124.5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最低工资不包含劳动者按下限缴存的住房公积金，由用人单位按规定另行支付。</w:t>
            </w:r>
            <w:r/>
          </w:p>
        </w:tc>
      </w:tr>
      <w:tr>
        <w:trPr>
          <w:trHeight w:val="3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企业用人成本</w:t>
            </w: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序号</w:t>
            </w:r>
            <w:r>
              <w:rPr>
                <w:rFonts w:ascii="SimSun" w:hAnsi="SimSun" w:eastAsia="SimSun" w:cs="SimSun"/>
                <w:color w:val="000000"/>
                <w:sz w:val="21"/>
              </w:rPr>
              <w:t xml:space="preserve">1+2+3+4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3962.15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普通人员</w:t>
            </w:r>
            <w:r/>
          </w:p>
        </w:tc>
      </w:tr>
      <w:tr>
        <w:trPr>
          <w:trHeight w:val="144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企业用人成本</w:t>
            </w: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序号</w:t>
            </w: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2490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享受社保公积金减免政策人员、退休返聘人员</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表2：社会保险最低缴费比例（参考）</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2500"/>
        <w:gridCol w:w="3282"/>
        <w:gridCol w:w="282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险种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单位缴纳比例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个人缴纳比例及金额</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工伤保险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失业保险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生育保险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大病医疗救助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10元/月</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七、商务条款偏离表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8"/>
        <w:gridCol w:w="2186"/>
        <w:gridCol w:w="2733"/>
        <w:gridCol w:w="2733"/>
        <w:gridCol w:w="1154"/>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八、技术条款偏离表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8"/>
        <w:gridCol w:w="2187"/>
        <w:gridCol w:w="2733"/>
        <w:gridCol w:w="2733"/>
        <w:gridCol w:w="1154"/>
      </w:tblGrid>
      <w:tr>
        <w:trPr>
          <w:trHeight w:val="1073"/>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1.供应商应逐一说明响应产品和服务响应，直接拷贝采购文件技术要求的按照无效响应处理；</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九、中小企业声明函</w:t>
      </w:r>
      <w:r/>
    </w:p>
    <w:p>
      <w:pPr>
        <w:ind w:left="0" w:right="0" w:firstLine="0"/>
        <w:jc w:val="center"/>
        <w:spacing w:before="1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租赁和商务服务业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1、从业人员（不仅指在职职工）、营业收入、资产总额填报上一年度数据，无上一年度数据的新成立企业可不填报。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2、供应商应当对其出具的《中小企业声明函》真实性负责，供应商出具的《中小企业声明函》内容不实的，属于提供虚假材料谋取中标。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3、中小企业不得属于大企业的分支机构，不得存在控股股东为大企业的情形，不得存在与大企业的负责人为同一人的情形。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t xml:space="preserve"> </w:t>
      </w:r>
      <w:r>
        <w:rPr>
          <w:rFonts w:ascii="Times New Roman" w:hAnsi="Times New Roman" w:eastAsia="Times New Roman" w:cs="Times New Roman"/>
          <w:sz w:val="24"/>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宋体">
    <w:panose1 w:val="02010600030101010101"/>
  </w:font>
  <w:font w:name="SimSun">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南京涛辰</cp:lastModifiedBy>
  <cp:revision>3</cp:revision>
  <dcterms:created xsi:type="dcterms:W3CDTF">2025-11-19T06:17:01Z</dcterms:created>
  <dcterms:modified xsi:type="dcterms:W3CDTF">2025-11-19T09:02:02Z</dcterms:modified>
</cp:coreProperties>
</file>